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167" w:rsidRDefault="00397167" w:rsidP="00397167">
      <w:pPr>
        <w:pStyle w:val="Heading1"/>
        <w:jc w:val="center"/>
        <w:rPr>
          <w:b/>
        </w:rPr>
      </w:pPr>
      <w:bookmarkStart w:id="0" w:name="_GoBack"/>
      <w:bookmarkEnd w:id="0"/>
      <w:r>
        <w:rPr>
          <w:b/>
          <w:noProof/>
          <w:lang w:eastAsia="en-GB"/>
        </w:rPr>
        <w:drawing>
          <wp:anchor distT="0" distB="0" distL="114300" distR="114300" simplePos="0" relativeHeight="251658240" behindDoc="0" locked="0" layoutInCell="1" allowOverlap="1" wp14:anchorId="59EDC29E" wp14:editId="11500AD5">
            <wp:simplePos x="0" y="0"/>
            <wp:positionH relativeFrom="column">
              <wp:posOffset>-914400</wp:posOffset>
            </wp:positionH>
            <wp:positionV relativeFrom="paragraph">
              <wp:posOffset>-1118870</wp:posOffset>
            </wp:positionV>
            <wp:extent cx="7560310" cy="10454005"/>
            <wp:effectExtent l="0" t="0" r="254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 2019 WRES data image.png"/>
                    <pic:cNvPicPr/>
                  </pic:nvPicPr>
                  <pic:blipFill>
                    <a:blip r:embed="rId13">
                      <a:extLst>
                        <a:ext uri="{28A0092B-C50C-407E-A947-70E740481C1C}">
                          <a14:useLocalDpi xmlns:a14="http://schemas.microsoft.com/office/drawing/2010/main" val="0"/>
                        </a:ext>
                      </a:extLst>
                    </a:blip>
                    <a:stretch>
                      <a:fillRect/>
                    </a:stretch>
                  </pic:blipFill>
                  <pic:spPr>
                    <a:xfrm>
                      <a:off x="0" y="0"/>
                      <a:ext cx="7560310" cy="10454005"/>
                    </a:xfrm>
                    <a:prstGeom prst="rect">
                      <a:avLst/>
                    </a:prstGeom>
                  </pic:spPr>
                </pic:pic>
              </a:graphicData>
            </a:graphic>
            <wp14:sizeRelH relativeFrom="page">
              <wp14:pctWidth>0</wp14:pctWidth>
            </wp14:sizeRelH>
            <wp14:sizeRelV relativeFrom="page">
              <wp14:pctHeight>0</wp14:pctHeight>
            </wp14:sizeRelV>
          </wp:anchor>
        </w:drawing>
      </w:r>
    </w:p>
    <w:p w:rsidR="00E36DBE" w:rsidRPr="00E36DBE" w:rsidRDefault="00DF465E" w:rsidP="00E36DBE">
      <w:pPr>
        <w:pStyle w:val="Heading1"/>
        <w:jc w:val="center"/>
        <w:rPr>
          <w:b/>
        </w:rPr>
      </w:pPr>
      <w:r w:rsidRPr="00E36DBE">
        <w:rPr>
          <w:b/>
        </w:rPr>
        <w:lastRenderedPageBreak/>
        <w:t xml:space="preserve">Workforce </w:t>
      </w:r>
      <w:r w:rsidRPr="00E36DBE">
        <w:rPr>
          <w:rStyle w:val="Heading1Char"/>
          <w:b/>
        </w:rPr>
        <w:t>Race</w:t>
      </w:r>
      <w:r w:rsidRPr="00E36DBE">
        <w:rPr>
          <w:b/>
        </w:rPr>
        <w:t xml:space="preserve"> Equality Standard 2018-19</w:t>
      </w:r>
    </w:p>
    <w:p w:rsidR="00E36DBE" w:rsidRDefault="00E36DBE" w:rsidP="00E36DBE"/>
    <w:p w:rsidR="006844B5" w:rsidRDefault="00DF465E" w:rsidP="003D7BBB">
      <w:pPr>
        <w:pStyle w:val="Heading2"/>
      </w:pPr>
      <w:r>
        <w:t xml:space="preserve">The NHS Workforce Race Equality Standard Indicators </w:t>
      </w:r>
    </w:p>
    <w:p w:rsidR="00DF465E" w:rsidRDefault="00DF465E" w:rsidP="003D7BBB">
      <w:pPr>
        <w:pStyle w:val="Heading3"/>
        <w:rPr>
          <w:b w:val="0"/>
        </w:rPr>
      </w:pPr>
      <w:r>
        <w:t>Workforce Indicators</w:t>
      </w:r>
    </w:p>
    <w:p w:rsidR="00DF465E" w:rsidRPr="003D7BBB" w:rsidRDefault="00DF465E" w:rsidP="003D7BBB">
      <w:pPr>
        <w:spacing w:after="0"/>
        <w:rPr>
          <w:i/>
          <w:u w:val="single"/>
        </w:rPr>
      </w:pPr>
      <w:r w:rsidRPr="003D7BBB">
        <w:rPr>
          <w:i/>
        </w:rPr>
        <w:t xml:space="preserve">For each of these four workforce indicators, </w:t>
      </w:r>
      <w:r w:rsidRPr="003D7BBB">
        <w:rPr>
          <w:i/>
          <w:u w:val="single"/>
        </w:rPr>
        <w:t>compare the data for White and BME staff</w:t>
      </w:r>
    </w:p>
    <w:p w:rsidR="00DF465E" w:rsidRDefault="00DF465E" w:rsidP="002B4D72">
      <w:pPr>
        <w:pStyle w:val="ListParagraph"/>
        <w:numPr>
          <w:ilvl w:val="0"/>
          <w:numId w:val="1"/>
        </w:numPr>
      </w:pPr>
      <w:r>
        <w:t>Percentage of staff in each of the AfC Bands 1-9 and VSM (including executive Board members) compared with the percentage of staff in the overall workforce</w:t>
      </w:r>
    </w:p>
    <w:p w:rsidR="00DF465E" w:rsidRDefault="00DF465E" w:rsidP="00DF465E">
      <w:pPr>
        <w:pStyle w:val="ListParagraph"/>
        <w:ind w:left="360"/>
      </w:pPr>
      <w:r w:rsidRPr="00DF465E">
        <w:rPr>
          <w:b/>
        </w:rPr>
        <w:t>Note</w:t>
      </w:r>
      <w:r>
        <w:t>: Organisations should undertake this calculation separately for nonclinical and for clinical staff</w:t>
      </w:r>
    </w:p>
    <w:p w:rsidR="00DF465E" w:rsidRDefault="00DF465E" w:rsidP="00DF465E">
      <w:pPr>
        <w:pStyle w:val="ListParagraph"/>
        <w:numPr>
          <w:ilvl w:val="0"/>
          <w:numId w:val="1"/>
        </w:numPr>
      </w:pPr>
      <w:r>
        <w:t>Relative likelihood of staff being appointed from shortlisting across all posts</w:t>
      </w:r>
    </w:p>
    <w:p w:rsidR="00DF465E" w:rsidRDefault="00DF465E" w:rsidP="002B4D72">
      <w:pPr>
        <w:pStyle w:val="ListParagraph"/>
        <w:numPr>
          <w:ilvl w:val="0"/>
          <w:numId w:val="1"/>
        </w:numPr>
      </w:pPr>
      <w:r>
        <w:t xml:space="preserve">Relative likelihood of staff entering the formal disciplinary process, as measured by entry into a formal disciplinary investigation </w:t>
      </w:r>
    </w:p>
    <w:p w:rsidR="00DF465E" w:rsidRDefault="00DF465E" w:rsidP="00DF465E">
      <w:pPr>
        <w:pStyle w:val="ListParagraph"/>
        <w:ind w:left="360"/>
      </w:pPr>
      <w:r w:rsidRPr="00DF465E">
        <w:rPr>
          <w:b/>
        </w:rPr>
        <w:t>Note</w:t>
      </w:r>
      <w:r>
        <w:t>: This indicator will be based on data from a two year rolling average of the current year and the previous year</w:t>
      </w:r>
    </w:p>
    <w:p w:rsidR="00DF465E" w:rsidRPr="00DF465E" w:rsidRDefault="00DF465E" w:rsidP="002B4D72">
      <w:pPr>
        <w:pStyle w:val="ListParagraph"/>
        <w:numPr>
          <w:ilvl w:val="0"/>
          <w:numId w:val="1"/>
        </w:numPr>
        <w:rPr>
          <w:b/>
        </w:rPr>
      </w:pPr>
      <w:r>
        <w:t>Relative likelihood of staff accessing non-mandatory training and CPD</w:t>
      </w:r>
    </w:p>
    <w:p w:rsidR="00DF465E" w:rsidRDefault="00DF465E" w:rsidP="003D7BBB">
      <w:pPr>
        <w:pStyle w:val="Heading3"/>
      </w:pPr>
      <w:r w:rsidRPr="00DF465E">
        <w:t>Nation</w:t>
      </w:r>
      <w:r w:rsidR="000E1B7C">
        <w:t>al NHS Staff Survey indicators</w:t>
      </w:r>
    </w:p>
    <w:p w:rsidR="00DF465E" w:rsidRPr="003D7BBB" w:rsidRDefault="00DF465E" w:rsidP="003D7BBB">
      <w:pPr>
        <w:spacing w:after="0"/>
        <w:rPr>
          <w:i/>
          <w:u w:val="single"/>
        </w:rPr>
      </w:pPr>
      <w:r w:rsidRPr="003D7BBB">
        <w:rPr>
          <w:i/>
        </w:rPr>
        <w:t xml:space="preserve">For each of the four staff survey indicators, </w:t>
      </w:r>
      <w:r w:rsidRPr="003D7BBB">
        <w:rPr>
          <w:i/>
          <w:u w:val="single"/>
        </w:rPr>
        <w:t>compare the outcomes of the responses for White and BME staff.</w:t>
      </w:r>
    </w:p>
    <w:p w:rsidR="00DF465E" w:rsidRDefault="00DF465E" w:rsidP="002B4D72">
      <w:pPr>
        <w:pStyle w:val="ListParagraph"/>
        <w:numPr>
          <w:ilvl w:val="0"/>
          <w:numId w:val="1"/>
        </w:numPr>
      </w:pPr>
      <w:r>
        <w:t xml:space="preserve">KF 25. Percentage of staff experiencing harassment, bullying or abuse from patients, relatives or the public in last 12 months </w:t>
      </w:r>
    </w:p>
    <w:p w:rsidR="00DF465E" w:rsidRDefault="00DF465E" w:rsidP="002B4D72">
      <w:pPr>
        <w:pStyle w:val="ListParagraph"/>
        <w:numPr>
          <w:ilvl w:val="0"/>
          <w:numId w:val="1"/>
        </w:numPr>
      </w:pPr>
      <w:r>
        <w:t>KF 26. Percentage of staff experiencing harassment, bullying or abuse from staff in last 12 months</w:t>
      </w:r>
    </w:p>
    <w:p w:rsidR="00DF465E" w:rsidRDefault="00DF465E" w:rsidP="002B4D72">
      <w:pPr>
        <w:pStyle w:val="ListParagraph"/>
        <w:numPr>
          <w:ilvl w:val="0"/>
          <w:numId w:val="1"/>
        </w:numPr>
      </w:pPr>
      <w:r>
        <w:t>KF 21. Percentage believing that trust provides equal opportunities for career progression or promotion</w:t>
      </w:r>
    </w:p>
    <w:p w:rsidR="00DF465E" w:rsidRPr="00DF465E" w:rsidRDefault="00DF465E" w:rsidP="002B4D72">
      <w:pPr>
        <w:pStyle w:val="ListParagraph"/>
        <w:numPr>
          <w:ilvl w:val="0"/>
          <w:numId w:val="1"/>
        </w:numPr>
        <w:rPr>
          <w:b/>
        </w:rPr>
      </w:pPr>
      <w:r>
        <w:t>Q217. In the last 12 months have you personally experienced discrimination at work from any of the following? b) Manager/team leader or other colleagues</w:t>
      </w:r>
    </w:p>
    <w:p w:rsidR="00DF465E" w:rsidRDefault="00DF465E" w:rsidP="003D7BBB">
      <w:pPr>
        <w:pStyle w:val="Heading3"/>
      </w:pPr>
      <w:r w:rsidRPr="00DF465E">
        <w:t>Board representation indicator</w:t>
      </w:r>
    </w:p>
    <w:p w:rsidR="00DF465E" w:rsidRPr="003D7BBB" w:rsidRDefault="00DF465E" w:rsidP="003D7BBB">
      <w:pPr>
        <w:spacing w:after="0"/>
        <w:rPr>
          <w:i/>
        </w:rPr>
      </w:pPr>
      <w:r w:rsidRPr="003D7BBB">
        <w:rPr>
          <w:i/>
        </w:rPr>
        <w:t xml:space="preserve">For this indicator, </w:t>
      </w:r>
      <w:r w:rsidRPr="003D7BBB">
        <w:rPr>
          <w:i/>
          <w:u w:val="single"/>
        </w:rPr>
        <w:t>compare the difference for White and BME staff</w:t>
      </w:r>
    </w:p>
    <w:p w:rsidR="00DF465E" w:rsidRDefault="00DF465E" w:rsidP="006844B5">
      <w:pPr>
        <w:pStyle w:val="ListParagraph"/>
        <w:numPr>
          <w:ilvl w:val="0"/>
          <w:numId w:val="1"/>
        </w:numPr>
      </w:pPr>
      <w:r>
        <w:t>Percentage difference between the organisations’ Board voting membership and its overall workforce</w:t>
      </w:r>
    </w:p>
    <w:p w:rsidR="00DF465E" w:rsidRDefault="00DF465E" w:rsidP="00DF465E">
      <w:pPr>
        <w:pStyle w:val="ListParagraph"/>
        <w:ind w:left="360"/>
        <w:sectPr w:rsidR="00DF465E" w:rsidSect="00875597">
          <w:footerReference w:type="default" r:id="rId14"/>
          <w:headerReference w:type="first" r:id="rId15"/>
          <w:footerReference w:type="first" r:id="rId16"/>
          <w:pgSz w:w="11906" w:h="16838"/>
          <w:pgMar w:top="2127" w:right="1440" w:bottom="1440" w:left="1440" w:header="708" w:footer="1587" w:gutter="0"/>
          <w:cols w:space="708"/>
          <w:titlePg/>
          <w:docGrid w:linePitch="360"/>
        </w:sectPr>
      </w:pPr>
      <w:r w:rsidRPr="00DF465E">
        <w:rPr>
          <w:b/>
        </w:rPr>
        <w:t>Note</w:t>
      </w:r>
      <w:r>
        <w:t>: Only voting members of the Board should be included when considering this indicator</w:t>
      </w:r>
    </w:p>
    <w:p w:rsidR="007C606E" w:rsidRPr="002B39AF" w:rsidRDefault="007C606E" w:rsidP="002B39AF">
      <w:pPr>
        <w:pStyle w:val="Heading3"/>
      </w:pPr>
      <w:r w:rsidRPr="002B39AF">
        <w:rPr>
          <w:rStyle w:val="Heading3Char"/>
          <w:b/>
        </w:rPr>
        <w:lastRenderedPageBreak/>
        <w:t>Indicator 1 - Percentage of staff in each of the AfC Bands 1-9 and VSM (including executive Board</w:t>
      </w:r>
      <w:r w:rsidRPr="002B39AF">
        <w:t xml:space="preserve"> members) compared with the percentage of staff in the overall workforce</w:t>
      </w:r>
    </w:p>
    <w:tbl>
      <w:tblPr>
        <w:tblW w:w="8500" w:type="dxa"/>
        <w:tblLook w:val="04A0" w:firstRow="1" w:lastRow="0" w:firstColumn="1" w:lastColumn="0" w:noHBand="0" w:noVBand="1"/>
      </w:tblPr>
      <w:tblGrid>
        <w:gridCol w:w="1795"/>
        <w:gridCol w:w="3345"/>
        <w:gridCol w:w="1060"/>
        <w:gridCol w:w="1060"/>
        <w:gridCol w:w="1240"/>
      </w:tblGrid>
      <w:tr w:rsidR="00953734" w:rsidRPr="00953734" w:rsidTr="00520875">
        <w:trPr>
          <w:trHeight w:val="283"/>
        </w:trPr>
        <w:tc>
          <w:tcPr>
            <w:tcW w:w="5140" w:type="dxa"/>
            <w:gridSpan w:val="2"/>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7C606E" w:rsidRPr="00953734" w:rsidRDefault="007C606E" w:rsidP="00286974">
            <w:pPr>
              <w:spacing w:after="0"/>
              <w:rPr>
                <w:b/>
                <w:color w:val="FFFFFF" w:themeColor="background1"/>
                <w:lang w:eastAsia="en-GB"/>
              </w:rPr>
            </w:pPr>
            <w:r w:rsidRPr="00953734">
              <w:rPr>
                <w:b/>
                <w:color w:val="FFFFFF" w:themeColor="background1"/>
                <w:lang w:eastAsia="en-GB"/>
              </w:rPr>
              <w:t xml:space="preserve">Clinical or </w:t>
            </w:r>
            <w:r w:rsidR="00953734" w:rsidRPr="00953734">
              <w:rPr>
                <w:b/>
                <w:color w:val="FFFFFF" w:themeColor="background1"/>
                <w:lang w:eastAsia="en-GB"/>
              </w:rPr>
              <w:t>non-clinical</w:t>
            </w:r>
          </w:p>
        </w:tc>
        <w:tc>
          <w:tcPr>
            <w:tcW w:w="1060" w:type="dxa"/>
            <w:tcBorders>
              <w:top w:val="single" w:sz="4" w:space="0" w:color="auto"/>
              <w:left w:val="nil"/>
              <w:bottom w:val="single" w:sz="4" w:space="0" w:color="auto"/>
              <w:right w:val="nil"/>
            </w:tcBorders>
            <w:shd w:val="clear" w:color="auto" w:fill="5B9BD5" w:themeFill="accent1"/>
            <w:noWrap/>
            <w:vAlign w:val="center"/>
            <w:hideMark/>
          </w:tcPr>
          <w:p w:rsidR="007C606E" w:rsidRPr="00953734" w:rsidRDefault="00EC4447" w:rsidP="00286974">
            <w:pPr>
              <w:spacing w:after="0"/>
              <w:rPr>
                <w:b/>
                <w:color w:val="FFFFFF" w:themeColor="background1"/>
                <w:lang w:eastAsia="en-GB"/>
              </w:rPr>
            </w:pPr>
            <w:r w:rsidRPr="00953734">
              <w:rPr>
                <w:b/>
                <w:color w:val="FFFFFF" w:themeColor="background1"/>
                <w:lang w:eastAsia="en-GB"/>
              </w:rPr>
              <w:t>BME</w:t>
            </w:r>
          </w:p>
        </w:tc>
        <w:tc>
          <w:tcPr>
            <w:tcW w:w="1060"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7C606E" w:rsidRPr="00953734" w:rsidRDefault="007C606E" w:rsidP="00286974">
            <w:pPr>
              <w:spacing w:after="0"/>
              <w:rPr>
                <w:b/>
                <w:color w:val="FFFFFF" w:themeColor="background1"/>
                <w:lang w:eastAsia="en-GB"/>
              </w:rPr>
            </w:pPr>
            <w:r w:rsidRPr="00953734">
              <w:rPr>
                <w:b/>
                <w:color w:val="FFFFFF" w:themeColor="background1"/>
                <w:lang w:eastAsia="en-GB"/>
              </w:rPr>
              <w:t>White</w:t>
            </w:r>
          </w:p>
        </w:tc>
        <w:tc>
          <w:tcPr>
            <w:tcW w:w="1240" w:type="dxa"/>
            <w:tcBorders>
              <w:top w:val="single" w:sz="4" w:space="0" w:color="auto"/>
              <w:left w:val="nil"/>
              <w:bottom w:val="single" w:sz="4" w:space="0" w:color="auto"/>
              <w:right w:val="single" w:sz="4" w:space="0" w:color="auto"/>
            </w:tcBorders>
            <w:shd w:val="clear" w:color="auto" w:fill="5B9BD5" w:themeFill="accent1"/>
            <w:noWrap/>
            <w:vAlign w:val="center"/>
            <w:hideMark/>
          </w:tcPr>
          <w:p w:rsidR="007C606E" w:rsidRPr="00953734" w:rsidRDefault="007C606E" w:rsidP="00286974">
            <w:pPr>
              <w:spacing w:after="0"/>
              <w:rPr>
                <w:b/>
                <w:color w:val="FFFFFF" w:themeColor="background1"/>
                <w:lang w:eastAsia="en-GB"/>
              </w:rPr>
            </w:pPr>
            <w:r w:rsidRPr="00953734">
              <w:rPr>
                <w:b/>
                <w:color w:val="FFFFFF" w:themeColor="background1"/>
                <w:lang w:eastAsia="en-GB"/>
              </w:rPr>
              <w:t>Not stated</w:t>
            </w:r>
          </w:p>
        </w:tc>
      </w:tr>
      <w:tr w:rsidR="00286974" w:rsidRPr="00286974" w:rsidTr="000E1B7C">
        <w:trPr>
          <w:trHeight w:val="283"/>
        </w:trPr>
        <w:tc>
          <w:tcPr>
            <w:tcW w:w="1795" w:type="dxa"/>
            <w:vMerge w:val="restart"/>
            <w:tcBorders>
              <w:top w:val="nil"/>
              <w:left w:val="single" w:sz="4" w:space="0" w:color="auto"/>
              <w:right w:val="single" w:sz="4" w:space="0" w:color="auto"/>
            </w:tcBorders>
            <w:shd w:val="clear" w:color="000000" w:fill="FFFFFF"/>
            <w:noWrap/>
            <w:vAlign w:val="center"/>
            <w:hideMark/>
          </w:tcPr>
          <w:p w:rsidR="00286974" w:rsidRPr="00286974" w:rsidRDefault="00286974" w:rsidP="00286974">
            <w:pPr>
              <w:spacing w:after="0"/>
              <w:rPr>
                <w:b/>
                <w:lang w:eastAsia="en-GB"/>
              </w:rPr>
            </w:pPr>
            <w:r w:rsidRPr="00286974">
              <w:rPr>
                <w:b/>
                <w:lang w:eastAsia="en-GB"/>
              </w:rPr>
              <w:t xml:space="preserve">Clinical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1</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2</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3</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3.0%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95.6%</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1.4%</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4</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3.3%</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95.6%</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1.1%</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5</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2.2%</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96.9%</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0.9%</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6</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2.1%</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95.7%</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2.2%</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7</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4.2%</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91.5%</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4.2%</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8a</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97.1%</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8b</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16.7%</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83.3%</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8c</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8d</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Other / Local Pay</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2.3%</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92.4%</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5.3%</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VSM</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6C5452" w:rsidP="00286974">
            <w:pPr>
              <w:spacing w:after="0"/>
            </w:pPr>
            <w:r>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6C5452" w:rsidP="00286974">
            <w:pPr>
              <w:spacing w:after="0"/>
            </w:pPr>
            <w:r>
              <w:t>100.0</w:t>
            </w:r>
            <w:r w:rsidR="00286974" w:rsidRPr="00286974">
              <w:t>%</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b/>
                <w:lang w:eastAsia="en-GB"/>
              </w:rPr>
            </w:pPr>
          </w:p>
        </w:tc>
        <w:tc>
          <w:tcPr>
            <w:tcW w:w="3345" w:type="dxa"/>
            <w:tcBorders>
              <w:top w:val="nil"/>
              <w:left w:val="nil"/>
              <w:bottom w:val="single" w:sz="4" w:space="0" w:color="auto"/>
              <w:right w:val="single" w:sz="4" w:space="0" w:color="auto"/>
            </w:tcBorders>
            <w:shd w:val="clear" w:color="000000" w:fill="D9D9D9"/>
            <w:noWrap/>
            <w:vAlign w:val="center"/>
            <w:hideMark/>
          </w:tcPr>
          <w:p w:rsidR="00286974" w:rsidRPr="00286974" w:rsidRDefault="00286974" w:rsidP="00286974">
            <w:pPr>
              <w:spacing w:after="0"/>
              <w:rPr>
                <w:b/>
                <w:lang w:eastAsia="en-GB"/>
              </w:rPr>
            </w:pPr>
            <w:r w:rsidRPr="00286974">
              <w:rPr>
                <w:b/>
                <w:lang w:eastAsia="en-GB"/>
              </w:rPr>
              <w:t xml:space="preserve">Medical and Dental </w:t>
            </w:r>
          </w:p>
        </w:tc>
        <w:tc>
          <w:tcPr>
            <w:tcW w:w="1060" w:type="dxa"/>
            <w:tcBorders>
              <w:top w:val="nil"/>
              <w:left w:val="nil"/>
              <w:bottom w:val="single" w:sz="4" w:space="0" w:color="auto"/>
              <w:right w:val="single" w:sz="4" w:space="0" w:color="auto"/>
            </w:tcBorders>
            <w:shd w:val="clear" w:color="000000" w:fill="D9D9D9"/>
            <w:noWrap/>
            <w:hideMark/>
          </w:tcPr>
          <w:p w:rsidR="00286974" w:rsidRPr="00286974" w:rsidRDefault="00286974" w:rsidP="00286974">
            <w:pPr>
              <w:spacing w:after="0"/>
              <w:rPr>
                <w:b/>
              </w:rPr>
            </w:pPr>
            <w:r w:rsidRPr="00286974">
              <w:rPr>
                <w:b/>
              </w:rPr>
              <w:t>46.7%</w:t>
            </w:r>
          </w:p>
        </w:tc>
        <w:tc>
          <w:tcPr>
            <w:tcW w:w="1060" w:type="dxa"/>
            <w:tcBorders>
              <w:top w:val="nil"/>
              <w:left w:val="nil"/>
              <w:bottom w:val="single" w:sz="4" w:space="0" w:color="auto"/>
              <w:right w:val="single" w:sz="4" w:space="0" w:color="auto"/>
            </w:tcBorders>
            <w:shd w:val="clear" w:color="000000" w:fill="D9D9D9"/>
            <w:noWrap/>
            <w:hideMark/>
          </w:tcPr>
          <w:p w:rsidR="00286974" w:rsidRPr="00286974" w:rsidRDefault="00286974" w:rsidP="00286974">
            <w:pPr>
              <w:spacing w:after="0"/>
              <w:rPr>
                <w:b/>
              </w:rPr>
            </w:pPr>
            <w:r w:rsidRPr="00286974">
              <w:rPr>
                <w:b/>
              </w:rPr>
              <w:t>52.3%</w:t>
            </w:r>
          </w:p>
        </w:tc>
        <w:tc>
          <w:tcPr>
            <w:tcW w:w="1240" w:type="dxa"/>
            <w:tcBorders>
              <w:top w:val="nil"/>
              <w:left w:val="nil"/>
              <w:bottom w:val="single" w:sz="4" w:space="0" w:color="auto"/>
              <w:right w:val="single" w:sz="4" w:space="0" w:color="auto"/>
            </w:tcBorders>
            <w:shd w:val="clear" w:color="000000" w:fill="D9D9D9"/>
            <w:noWrap/>
            <w:hideMark/>
          </w:tcPr>
          <w:p w:rsidR="00286974" w:rsidRPr="00286974" w:rsidRDefault="00286974" w:rsidP="00286974">
            <w:pPr>
              <w:spacing w:after="0"/>
              <w:rPr>
                <w:b/>
              </w:rPr>
            </w:pPr>
            <w:r w:rsidRPr="00286974">
              <w:rPr>
                <w:b/>
              </w:rPr>
              <w:t>0.9%</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i/>
                <w:iCs/>
                <w:lang w:eastAsia="en-GB"/>
              </w:rPr>
            </w:pPr>
            <w:r w:rsidRPr="00286974">
              <w:rPr>
                <w:i/>
                <w:iCs/>
                <w:lang w:eastAsia="en-GB"/>
              </w:rPr>
              <w:t>of which consultants</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47.6%</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51.2%</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1.2%</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i/>
                <w:iCs/>
                <w:lang w:eastAsia="en-GB"/>
              </w:rPr>
            </w:pPr>
            <w:r w:rsidRPr="00286974">
              <w:rPr>
                <w:i/>
                <w:iCs/>
                <w:lang w:eastAsia="en-GB"/>
              </w:rPr>
              <w:t>of which Senior medical manager</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50.0%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50.0%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i/>
                <w:iCs/>
                <w:lang w:eastAsia="en-GB"/>
              </w:rPr>
            </w:pPr>
            <w:r w:rsidRPr="00286974">
              <w:rPr>
                <w:i/>
                <w:iCs/>
                <w:lang w:eastAsia="en-GB"/>
              </w:rPr>
              <w:t>of which non cons career grades</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42.9%</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57.1%</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i/>
                <w:iCs/>
                <w:lang w:eastAsia="en-GB"/>
              </w:rPr>
            </w:pPr>
            <w:r w:rsidRPr="00286974">
              <w:rPr>
                <w:i/>
                <w:iCs/>
                <w:lang w:eastAsia="en-GB"/>
              </w:rPr>
              <w:t>of which trainee grades</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46.2%</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53.8%</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i/>
                <w:iCs/>
                <w:lang w:eastAsia="en-GB"/>
              </w:rPr>
            </w:pPr>
            <w:r w:rsidRPr="00286974">
              <w:rPr>
                <w:i/>
                <w:iCs/>
                <w:lang w:eastAsia="en-GB"/>
              </w:rPr>
              <w:t xml:space="preserve">of which others </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52029F" w:rsidRPr="00286974" w:rsidTr="0052029F">
        <w:trPr>
          <w:trHeight w:val="360"/>
        </w:trPr>
        <w:tc>
          <w:tcPr>
            <w:tcW w:w="1795" w:type="dxa"/>
            <w:tcBorders>
              <w:top w:val="nil"/>
              <w:left w:val="single" w:sz="4" w:space="0" w:color="auto"/>
              <w:bottom w:val="single" w:sz="4" w:space="0" w:color="auto"/>
              <w:right w:val="single" w:sz="4" w:space="0" w:color="auto"/>
            </w:tcBorders>
            <w:shd w:val="clear" w:color="auto" w:fill="5B9BD5" w:themeFill="accent1"/>
            <w:noWrap/>
            <w:vAlign w:val="center"/>
            <w:hideMark/>
          </w:tcPr>
          <w:p w:rsidR="004332DF" w:rsidRPr="00286974" w:rsidRDefault="004332DF" w:rsidP="00286974">
            <w:pPr>
              <w:spacing w:after="0"/>
              <w:rPr>
                <w:rFonts w:cs="Calibri"/>
                <w:b/>
                <w:color w:val="FFFFFF" w:themeColor="background1"/>
                <w:lang w:eastAsia="en-GB"/>
              </w:rPr>
            </w:pPr>
            <w:r w:rsidRPr="00286974">
              <w:rPr>
                <w:rFonts w:cs="Calibri"/>
                <w:b/>
                <w:color w:val="FFFFFF" w:themeColor="background1"/>
                <w:lang w:eastAsia="en-GB"/>
              </w:rPr>
              <w:t>Clinical Total</w:t>
            </w:r>
          </w:p>
        </w:tc>
        <w:tc>
          <w:tcPr>
            <w:tcW w:w="3345" w:type="dxa"/>
            <w:tcBorders>
              <w:top w:val="nil"/>
              <w:left w:val="nil"/>
              <w:bottom w:val="single" w:sz="4" w:space="0" w:color="auto"/>
              <w:right w:val="single" w:sz="4" w:space="0" w:color="auto"/>
            </w:tcBorders>
            <w:shd w:val="clear" w:color="auto" w:fill="5B9BD5" w:themeFill="accent1"/>
            <w:noWrap/>
            <w:vAlign w:val="center"/>
            <w:hideMark/>
          </w:tcPr>
          <w:p w:rsidR="004332DF" w:rsidRPr="00286974" w:rsidRDefault="004332DF" w:rsidP="00286974">
            <w:pPr>
              <w:spacing w:after="0"/>
              <w:rPr>
                <w:rFonts w:cs="Calibri"/>
                <w:b/>
                <w:color w:val="FFFFFF" w:themeColor="background1"/>
                <w:lang w:eastAsia="en-GB"/>
              </w:rPr>
            </w:pPr>
          </w:p>
        </w:tc>
        <w:tc>
          <w:tcPr>
            <w:tcW w:w="1060" w:type="dxa"/>
            <w:tcBorders>
              <w:top w:val="nil"/>
              <w:left w:val="nil"/>
              <w:bottom w:val="single" w:sz="4" w:space="0" w:color="auto"/>
              <w:right w:val="single" w:sz="4" w:space="0" w:color="auto"/>
            </w:tcBorders>
            <w:shd w:val="clear" w:color="auto" w:fill="5B9BD5" w:themeFill="accent1"/>
            <w:noWrap/>
            <w:vAlign w:val="center"/>
            <w:hideMark/>
          </w:tcPr>
          <w:p w:rsidR="004332DF" w:rsidRPr="00286974" w:rsidRDefault="004332DF" w:rsidP="00286974">
            <w:pPr>
              <w:spacing w:after="0"/>
              <w:rPr>
                <w:b/>
                <w:color w:val="FFFFFF" w:themeColor="background1"/>
              </w:rPr>
            </w:pPr>
            <w:r w:rsidRPr="00286974">
              <w:rPr>
                <w:b/>
                <w:color w:val="FFFFFF" w:themeColor="background1"/>
              </w:rPr>
              <w:t>4.6%</w:t>
            </w:r>
          </w:p>
        </w:tc>
        <w:tc>
          <w:tcPr>
            <w:tcW w:w="1060" w:type="dxa"/>
            <w:tcBorders>
              <w:top w:val="nil"/>
              <w:left w:val="nil"/>
              <w:bottom w:val="single" w:sz="4" w:space="0" w:color="auto"/>
              <w:right w:val="single" w:sz="4" w:space="0" w:color="auto"/>
            </w:tcBorders>
            <w:shd w:val="clear" w:color="auto" w:fill="5B9BD5" w:themeFill="accent1"/>
            <w:noWrap/>
            <w:vAlign w:val="center"/>
            <w:hideMark/>
          </w:tcPr>
          <w:p w:rsidR="004332DF" w:rsidRPr="00286974" w:rsidRDefault="004332DF" w:rsidP="00286974">
            <w:pPr>
              <w:spacing w:after="0"/>
              <w:rPr>
                <w:b/>
                <w:color w:val="FFFFFF" w:themeColor="background1"/>
              </w:rPr>
            </w:pPr>
            <w:r w:rsidRPr="00286974">
              <w:rPr>
                <w:b/>
                <w:color w:val="FFFFFF" w:themeColor="background1"/>
              </w:rPr>
              <w:t>93.2%</w:t>
            </w:r>
          </w:p>
        </w:tc>
        <w:tc>
          <w:tcPr>
            <w:tcW w:w="1240" w:type="dxa"/>
            <w:tcBorders>
              <w:top w:val="nil"/>
              <w:left w:val="nil"/>
              <w:bottom w:val="single" w:sz="4" w:space="0" w:color="auto"/>
              <w:right w:val="single" w:sz="4" w:space="0" w:color="auto"/>
            </w:tcBorders>
            <w:shd w:val="clear" w:color="auto" w:fill="5B9BD5" w:themeFill="accent1"/>
            <w:noWrap/>
            <w:vAlign w:val="center"/>
            <w:hideMark/>
          </w:tcPr>
          <w:p w:rsidR="004332DF" w:rsidRPr="00286974" w:rsidRDefault="004332DF" w:rsidP="00286974">
            <w:pPr>
              <w:spacing w:after="0"/>
              <w:rPr>
                <w:b/>
                <w:color w:val="FFFFFF" w:themeColor="background1"/>
              </w:rPr>
            </w:pPr>
            <w:r w:rsidRPr="00286974">
              <w:rPr>
                <w:b/>
                <w:color w:val="FFFFFF" w:themeColor="background1"/>
              </w:rPr>
              <w:t>2.2%</w:t>
            </w:r>
          </w:p>
        </w:tc>
      </w:tr>
      <w:tr w:rsidR="00286974" w:rsidRPr="00286974" w:rsidTr="00286974">
        <w:trPr>
          <w:trHeight w:val="283"/>
        </w:trPr>
        <w:tc>
          <w:tcPr>
            <w:tcW w:w="1795" w:type="dxa"/>
            <w:vMerge w:val="restart"/>
            <w:tcBorders>
              <w:top w:val="nil"/>
              <w:left w:val="single" w:sz="4" w:space="0" w:color="auto"/>
              <w:right w:val="single" w:sz="4" w:space="0" w:color="auto"/>
            </w:tcBorders>
            <w:shd w:val="clear" w:color="000000" w:fill="FFFFFF"/>
            <w:noWrap/>
            <w:hideMark/>
          </w:tcPr>
          <w:p w:rsidR="00286974" w:rsidRPr="00286974" w:rsidRDefault="00286974" w:rsidP="00286974">
            <w:pPr>
              <w:spacing w:after="0"/>
              <w:rPr>
                <w:b/>
                <w:lang w:eastAsia="en-GB"/>
              </w:rPr>
            </w:pPr>
            <w:r w:rsidRPr="00286974">
              <w:rPr>
                <w:b/>
                <w:lang w:eastAsia="en-GB"/>
              </w:rPr>
              <w:t>Non clinical</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p w:rsidR="00286974" w:rsidRPr="00286974" w:rsidRDefault="00286974" w:rsidP="00286974">
            <w:pPr>
              <w:spacing w:after="0"/>
              <w:rPr>
                <w:b/>
                <w:lang w:eastAsia="en-GB"/>
              </w:rPr>
            </w:pPr>
            <w:r w:rsidRPr="00286974">
              <w:rPr>
                <w:b/>
                <w:lang w:eastAsia="en-GB"/>
              </w:rPr>
              <w:t> </w:t>
            </w: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1</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3.2%</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94.6%</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2.2%</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2</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3.3%</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96.2%</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0.5%</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3</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2.3%</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97.3%</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0.3%</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4</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2.9%</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94.9%</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2.2%</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5</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1.7%</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96.6%</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1.7%</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6</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1.4%</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95.7%</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2.9%</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7</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97.6%</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2.4%</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8a</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8.7%</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87.0%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4.3%</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8b</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96.7%</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3.3%</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8c</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Band 8d</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286974" w:rsidRPr="00286974" w:rsidTr="000E1B7C">
        <w:trPr>
          <w:trHeight w:val="283"/>
        </w:trPr>
        <w:tc>
          <w:tcPr>
            <w:tcW w:w="1795" w:type="dxa"/>
            <w:vMerge/>
            <w:tcBorders>
              <w:left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Other / Local Pay</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88.9%</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11.1%</w:t>
            </w:r>
          </w:p>
        </w:tc>
      </w:tr>
      <w:tr w:rsidR="00286974" w:rsidRPr="00286974" w:rsidTr="000E1B7C">
        <w:trPr>
          <w:trHeight w:val="283"/>
        </w:trPr>
        <w:tc>
          <w:tcPr>
            <w:tcW w:w="1795" w:type="dxa"/>
            <w:vMerge/>
            <w:tcBorders>
              <w:left w:val="single" w:sz="4" w:space="0" w:color="auto"/>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286974" w:rsidRPr="00286974" w:rsidRDefault="00286974" w:rsidP="00286974">
            <w:pPr>
              <w:spacing w:after="0"/>
              <w:rPr>
                <w:lang w:eastAsia="en-GB"/>
              </w:rPr>
            </w:pPr>
            <w:r w:rsidRPr="00286974">
              <w:rPr>
                <w:lang w:eastAsia="en-GB"/>
              </w:rPr>
              <w:t>VSM</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c>
          <w:tcPr>
            <w:tcW w:w="106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100.0%</w:t>
            </w:r>
          </w:p>
        </w:tc>
        <w:tc>
          <w:tcPr>
            <w:tcW w:w="1240" w:type="dxa"/>
            <w:tcBorders>
              <w:top w:val="nil"/>
              <w:left w:val="nil"/>
              <w:bottom w:val="single" w:sz="4" w:space="0" w:color="auto"/>
              <w:right w:val="single" w:sz="4" w:space="0" w:color="auto"/>
            </w:tcBorders>
            <w:shd w:val="clear" w:color="000000" w:fill="FFFFFF"/>
            <w:noWrap/>
            <w:hideMark/>
          </w:tcPr>
          <w:p w:rsidR="00286974" w:rsidRPr="00286974" w:rsidRDefault="00286974" w:rsidP="00286974">
            <w:pPr>
              <w:spacing w:after="0"/>
            </w:pPr>
            <w:r w:rsidRPr="00286974">
              <w:t>0.0%</w:t>
            </w:r>
          </w:p>
        </w:tc>
      </w:tr>
      <w:tr w:rsidR="0052029F" w:rsidRPr="00286974" w:rsidTr="0052029F">
        <w:trPr>
          <w:trHeight w:val="283"/>
        </w:trPr>
        <w:tc>
          <w:tcPr>
            <w:tcW w:w="1795" w:type="dxa"/>
            <w:tcBorders>
              <w:top w:val="nil"/>
              <w:left w:val="single" w:sz="4" w:space="0" w:color="auto"/>
              <w:bottom w:val="single" w:sz="4" w:space="0" w:color="auto"/>
              <w:right w:val="single" w:sz="4" w:space="0" w:color="auto"/>
            </w:tcBorders>
            <w:shd w:val="clear" w:color="auto" w:fill="5B9BD5" w:themeFill="accent1"/>
            <w:noWrap/>
            <w:vAlign w:val="center"/>
            <w:hideMark/>
          </w:tcPr>
          <w:p w:rsidR="004332DF" w:rsidRPr="00286974" w:rsidRDefault="004332DF" w:rsidP="00953734">
            <w:pPr>
              <w:spacing w:after="0"/>
              <w:rPr>
                <w:rFonts w:cs="Calibri"/>
                <w:b/>
                <w:color w:val="FFFFFF" w:themeColor="background1"/>
                <w:lang w:eastAsia="en-GB"/>
              </w:rPr>
            </w:pPr>
            <w:r w:rsidRPr="00286974">
              <w:rPr>
                <w:rFonts w:cs="Calibri"/>
                <w:b/>
                <w:color w:val="FFFFFF" w:themeColor="background1"/>
                <w:lang w:eastAsia="en-GB"/>
              </w:rPr>
              <w:t>Non</w:t>
            </w:r>
            <w:r w:rsidR="00953734">
              <w:rPr>
                <w:rFonts w:cs="Calibri"/>
                <w:b/>
                <w:color w:val="FFFFFF" w:themeColor="background1"/>
                <w:lang w:eastAsia="en-GB"/>
              </w:rPr>
              <w:t xml:space="preserve"> </w:t>
            </w:r>
            <w:r w:rsidRPr="00286974">
              <w:rPr>
                <w:rFonts w:cs="Calibri"/>
                <w:b/>
                <w:color w:val="FFFFFF" w:themeColor="background1"/>
                <w:lang w:eastAsia="en-GB"/>
              </w:rPr>
              <w:t>clinical Total</w:t>
            </w:r>
          </w:p>
        </w:tc>
        <w:tc>
          <w:tcPr>
            <w:tcW w:w="3345" w:type="dxa"/>
            <w:tcBorders>
              <w:top w:val="nil"/>
              <w:left w:val="nil"/>
              <w:bottom w:val="single" w:sz="4" w:space="0" w:color="auto"/>
              <w:right w:val="single" w:sz="4" w:space="0" w:color="auto"/>
            </w:tcBorders>
            <w:shd w:val="clear" w:color="auto" w:fill="5B9BD5" w:themeFill="accent1"/>
            <w:noWrap/>
            <w:vAlign w:val="center"/>
            <w:hideMark/>
          </w:tcPr>
          <w:p w:rsidR="004332DF" w:rsidRPr="00286974" w:rsidRDefault="004332DF" w:rsidP="00286974">
            <w:pPr>
              <w:spacing w:after="0"/>
              <w:rPr>
                <w:rFonts w:cs="Calibri"/>
                <w:b/>
                <w:color w:val="FFFFFF" w:themeColor="background1"/>
                <w:lang w:eastAsia="en-GB"/>
              </w:rPr>
            </w:pPr>
            <w:r w:rsidRPr="00286974">
              <w:rPr>
                <w:rFonts w:cs="Calibri"/>
                <w:b/>
                <w:color w:val="FFFFFF" w:themeColor="background1"/>
                <w:lang w:eastAsia="en-GB"/>
              </w:rPr>
              <w:t> </w:t>
            </w:r>
          </w:p>
        </w:tc>
        <w:tc>
          <w:tcPr>
            <w:tcW w:w="1060" w:type="dxa"/>
            <w:tcBorders>
              <w:top w:val="nil"/>
              <w:left w:val="nil"/>
              <w:bottom w:val="single" w:sz="4" w:space="0" w:color="auto"/>
              <w:right w:val="single" w:sz="4" w:space="0" w:color="auto"/>
            </w:tcBorders>
            <w:shd w:val="clear" w:color="auto" w:fill="5B9BD5" w:themeFill="accent1"/>
            <w:noWrap/>
            <w:hideMark/>
          </w:tcPr>
          <w:p w:rsidR="004332DF" w:rsidRPr="00286974" w:rsidRDefault="004332DF" w:rsidP="00286974">
            <w:pPr>
              <w:spacing w:after="0"/>
              <w:rPr>
                <w:b/>
                <w:color w:val="FFFFFF" w:themeColor="background1"/>
              </w:rPr>
            </w:pPr>
            <w:r w:rsidRPr="00286974">
              <w:rPr>
                <w:b/>
                <w:color w:val="FFFFFF" w:themeColor="background1"/>
              </w:rPr>
              <w:t>2.5%</w:t>
            </w:r>
          </w:p>
        </w:tc>
        <w:tc>
          <w:tcPr>
            <w:tcW w:w="1060" w:type="dxa"/>
            <w:tcBorders>
              <w:top w:val="nil"/>
              <w:left w:val="nil"/>
              <w:bottom w:val="single" w:sz="4" w:space="0" w:color="auto"/>
              <w:right w:val="single" w:sz="4" w:space="0" w:color="auto"/>
            </w:tcBorders>
            <w:shd w:val="clear" w:color="auto" w:fill="5B9BD5" w:themeFill="accent1"/>
            <w:noWrap/>
            <w:hideMark/>
          </w:tcPr>
          <w:p w:rsidR="004332DF" w:rsidRPr="00286974" w:rsidRDefault="004332DF" w:rsidP="00286974">
            <w:pPr>
              <w:spacing w:after="0"/>
              <w:rPr>
                <w:b/>
                <w:color w:val="FFFFFF" w:themeColor="background1"/>
              </w:rPr>
            </w:pPr>
            <w:r w:rsidRPr="00286974">
              <w:rPr>
                <w:b/>
                <w:color w:val="FFFFFF" w:themeColor="background1"/>
              </w:rPr>
              <w:t>96.1%</w:t>
            </w:r>
          </w:p>
        </w:tc>
        <w:tc>
          <w:tcPr>
            <w:tcW w:w="1240" w:type="dxa"/>
            <w:tcBorders>
              <w:top w:val="nil"/>
              <w:left w:val="nil"/>
              <w:bottom w:val="single" w:sz="4" w:space="0" w:color="auto"/>
              <w:right w:val="single" w:sz="4" w:space="0" w:color="auto"/>
            </w:tcBorders>
            <w:shd w:val="clear" w:color="auto" w:fill="5B9BD5" w:themeFill="accent1"/>
            <w:noWrap/>
            <w:hideMark/>
          </w:tcPr>
          <w:p w:rsidR="004332DF" w:rsidRPr="00286974" w:rsidRDefault="004332DF" w:rsidP="00286974">
            <w:pPr>
              <w:spacing w:after="0"/>
              <w:rPr>
                <w:b/>
                <w:color w:val="FFFFFF" w:themeColor="background1"/>
              </w:rPr>
            </w:pPr>
            <w:r w:rsidRPr="00286974">
              <w:rPr>
                <w:b/>
                <w:color w:val="FFFFFF" w:themeColor="background1"/>
              </w:rPr>
              <w:t>1.4%</w:t>
            </w:r>
          </w:p>
        </w:tc>
      </w:tr>
      <w:tr w:rsidR="004332DF" w:rsidRPr="00286974" w:rsidTr="004332DF">
        <w:trPr>
          <w:trHeight w:val="283"/>
        </w:trPr>
        <w:tc>
          <w:tcPr>
            <w:tcW w:w="514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4332DF" w:rsidRPr="00286974" w:rsidRDefault="004332DF" w:rsidP="00286974">
            <w:pPr>
              <w:spacing w:after="0"/>
              <w:rPr>
                <w:b/>
                <w:color w:val="FFFFFF" w:themeColor="background1"/>
                <w:lang w:eastAsia="en-GB"/>
              </w:rPr>
            </w:pPr>
            <w:r w:rsidRPr="00286974">
              <w:rPr>
                <w:b/>
                <w:color w:val="FFFFFF" w:themeColor="background1"/>
                <w:lang w:eastAsia="en-GB"/>
              </w:rPr>
              <w:t xml:space="preserve">Grand Total </w:t>
            </w:r>
          </w:p>
        </w:tc>
        <w:tc>
          <w:tcPr>
            <w:tcW w:w="1060" w:type="dxa"/>
            <w:tcBorders>
              <w:top w:val="nil"/>
              <w:left w:val="nil"/>
              <w:bottom w:val="single" w:sz="4" w:space="0" w:color="auto"/>
              <w:right w:val="single" w:sz="4" w:space="0" w:color="auto"/>
            </w:tcBorders>
            <w:shd w:val="clear" w:color="auto" w:fill="2E74B5" w:themeFill="accent1" w:themeFillShade="BF"/>
            <w:vAlign w:val="center"/>
          </w:tcPr>
          <w:p w:rsidR="004332DF" w:rsidRPr="00286974" w:rsidRDefault="00286974" w:rsidP="00286974">
            <w:pPr>
              <w:spacing w:after="0"/>
              <w:rPr>
                <w:b/>
                <w:color w:val="FFFFFF" w:themeColor="background1"/>
                <w:lang w:eastAsia="en-GB"/>
              </w:rPr>
            </w:pPr>
            <w:r w:rsidRPr="00286974">
              <w:rPr>
                <w:b/>
                <w:color w:val="FFFFFF" w:themeColor="background1"/>
                <w:lang w:eastAsia="en-GB"/>
              </w:rPr>
              <w:t>4.0%</w:t>
            </w:r>
          </w:p>
        </w:tc>
        <w:tc>
          <w:tcPr>
            <w:tcW w:w="1060" w:type="dxa"/>
            <w:tcBorders>
              <w:top w:val="nil"/>
              <w:left w:val="nil"/>
              <w:bottom w:val="single" w:sz="4" w:space="0" w:color="auto"/>
              <w:right w:val="single" w:sz="4" w:space="0" w:color="auto"/>
            </w:tcBorders>
            <w:shd w:val="clear" w:color="auto" w:fill="2E74B5" w:themeFill="accent1" w:themeFillShade="BF"/>
          </w:tcPr>
          <w:p w:rsidR="004332DF" w:rsidRPr="00286974" w:rsidRDefault="00286974" w:rsidP="00286974">
            <w:pPr>
              <w:spacing w:after="0"/>
              <w:rPr>
                <w:b/>
                <w:color w:val="FFFFFF" w:themeColor="background1"/>
              </w:rPr>
            </w:pPr>
            <w:r w:rsidRPr="00286974">
              <w:rPr>
                <w:b/>
                <w:color w:val="FFFFFF" w:themeColor="background1"/>
              </w:rPr>
              <w:t>94.0%</w:t>
            </w:r>
          </w:p>
        </w:tc>
        <w:tc>
          <w:tcPr>
            <w:tcW w:w="1240" w:type="dxa"/>
            <w:tcBorders>
              <w:top w:val="nil"/>
              <w:left w:val="nil"/>
              <w:bottom w:val="single" w:sz="4" w:space="0" w:color="auto"/>
              <w:right w:val="single" w:sz="4" w:space="0" w:color="auto"/>
            </w:tcBorders>
            <w:shd w:val="clear" w:color="auto" w:fill="2E74B5" w:themeFill="accent1" w:themeFillShade="BF"/>
          </w:tcPr>
          <w:p w:rsidR="004332DF" w:rsidRPr="00286974" w:rsidRDefault="00286974" w:rsidP="00286974">
            <w:pPr>
              <w:spacing w:after="0"/>
              <w:rPr>
                <w:b/>
                <w:color w:val="FFFFFF" w:themeColor="background1"/>
              </w:rPr>
            </w:pPr>
            <w:r w:rsidRPr="00286974">
              <w:rPr>
                <w:b/>
                <w:color w:val="FFFFFF" w:themeColor="background1"/>
              </w:rPr>
              <w:t>2.0%</w:t>
            </w:r>
          </w:p>
        </w:tc>
      </w:tr>
    </w:tbl>
    <w:p w:rsidR="00851B5D" w:rsidRDefault="00851B5D" w:rsidP="00953734">
      <w:pPr>
        <w:pStyle w:val="Heading3"/>
        <w:jc w:val="both"/>
      </w:pPr>
    </w:p>
    <w:p w:rsidR="00851B5D" w:rsidRDefault="00851B5D" w:rsidP="00953734">
      <w:pPr>
        <w:pStyle w:val="Heading3"/>
        <w:jc w:val="both"/>
      </w:pPr>
    </w:p>
    <w:p w:rsidR="007C606E" w:rsidRDefault="007C606E" w:rsidP="00953734">
      <w:pPr>
        <w:pStyle w:val="Heading3"/>
        <w:jc w:val="both"/>
      </w:pPr>
      <w:r w:rsidRPr="007C606E">
        <w:t xml:space="preserve">Indicator </w:t>
      </w:r>
      <w:r>
        <w:t xml:space="preserve">2 - </w:t>
      </w:r>
      <w:r w:rsidRPr="007C606E">
        <w:t>Relative likelihood of staff being appointed from shortlisting across all posts</w:t>
      </w:r>
    </w:p>
    <w:p w:rsidR="00851B5D" w:rsidRDefault="00851B5D" w:rsidP="000E1B7C">
      <w:pPr>
        <w:spacing w:after="0"/>
        <w:jc w:val="both"/>
        <w:rPr>
          <w:b/>
          <w:color w:val="595959" w:themeColor="text1" w:themeTint="A6"/>
        </w:rPr>
      </w:pPr>
    </w:p>
    <w:p w:rsidR="007C606E" w:rsidRPr="000E1B7C" w:rsidRDefault="007C606E" w:rsidP="000E1B7C">
      <w:pPr>
        <w:spacing w:after="0"/>
        <w:jc w:val="both"/>
        <w:rPr>
          <w:b/>
          <w:color w:val="595959" w:themeColor="text1" w:themeTint="A6"/>
        </w:rPr>
      </w:pPr>
      <w:r w:rsidRPr="000E1B7C">
        <w:rPr>
          <w:b/>
          <w:color w:val="595959" w:themeColor="text1" w:themeTint="A6"/>
        </w:rPr>
        <w:t>Current Year 2018-19</w:t>
      </w:r>
    </w:p>
    <w:tbl>
      <w:tblPr>
        <w:tblW w:w="9148" w:type="dxa"/>
        <w:tblLook w:val="04A0" w:firstRow="1" w:lastRow="0" w:firstColumn="1" w:lastColumn="0" w:noHBand="0" w:noVBand="1"/>
      </w:tblPr>
      <w:tblGrid>
        <w:gridCol w:w="2587"/>
        <w:gridCol w:w="2343"/>
        <w:gridCol w:w="1449"/>
        <w:gridCol w:w="2769"/>
      </w:tblGrid>
      <w:tr w:rsidR="007C606E" w:rsidRPr="007C606E" w:rsidTr="00520875">
        <w:trPr>
          <w:trHeight w:val="503"/>
        </w:trPr>
        <w:tc>
          <w:tcPr>
            <w:tcW w:w="258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 </w:t>
            </w:r>
          </w:p>
        </w:tc>
        <w:tc>
          <w:tcPr>
            <w:tcW w:w="2343"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Shortlisted</w:t>
            </w:r>
          </w:p>
        </w:tc>
        <w:tc>
          <w:tcPr>
            <w:tcW w:w="1447"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Appointed</w:t>
            </w:r>
          </w:p>
        </w:tc>
        <w:tc>
          <w:tcPr>
            <w:tcW w:w="2769"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Relative Likelihood of Shortlisted/Appointed</w:t>
            </w:r>
          </w:p>
        </w:tc>
      </w:tr>
      <w:tr w:rsidR="007C606E" w:rsidRPr="007C606E" w:rsidTr="007C606E">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White</w:t>
            </w:r>
          </w:p>
        </w:tc>
        <w:tc>
          <w:tcPr>
            <w:tcW w:w="234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4544</w:t>
            </w:r>
          </w:p>
        </w:tc>
        <w:tc>
          <w:tcPr>
            <w:tcW w:w="1447"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295</w:t>
            </w:r>
          </w:p>
        </w:tc>
        <w:tc>
          <w:tcPr>
            <w:tcW w:w="276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6.49%</w:t>
            </w:r>
          </w:p>
        </w:tc>
      </w:tr>
      <w:tr w:rsidR="007C606E" w:rsidRPr="007C606E" w:rsidTr="007C606E">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EC4447" w:rsidP="007C606E">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234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378</w:t>
            </w:r>
          </w:p>
        </w:tc>
        <w:tc>
          <w:tcPr>
            <w:tcW w:w="1447"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26</w:t>
            </w:r>
          </w:p>
        </w:tc>
        <w:tc>
          <w:tcPr>
            <w:tcW w:w="276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6.88%</w:t>
            </w:r>
          </w:p>
        </w:tc>
      </w:tr>
      <w:tr w:rsidR="007C606E" w:rsidRPr="007C606E" w:rsidTr="007C606E">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Not Stated</w:t>
            </w:r>
          </w:p>
        </w:tc>
        <w:tc>
          <w:tcPr>
            <w:tcW w:w="234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150</w:t>
            </w:r>
          </w:p>
        </w:tc>
        <w:tc>
          <w:tcPr>
            <w:tcW w:w="1447"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42</w:t>
            </w:r>
          </w:p>
        </w:tc>
        <w:tc>
          <w:tcPr>
            <w:tcW w:w="276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28.00%</w:t>
            </w:r>
          </w:p>
        </w:tc>
      </w:tr>
      <w:tr w:rsidR="007C606E" w:rsidRPr="007C606E" w:rsidTr="007C606E">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I do not wish to disclose</w:t>
            </w:r>
          </w:p>
        </w:tc>
        <w:tc>
          <w:tcPr>
            <w:tcW w:w="234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40</w:t>
            </w:r>
          </w:p>
        </w:tc>
        <w:tc>
          <w:tcPr>
            <w:tcW w:w="1447"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4</w:t>
            </w:r>
          </w:p>
        </w:tc>
        <w:tc>
          <w:tcPr>
            <w:tcW w:w="276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10.00%</w:t>
            </w:r>
          </w:p>
        </w:tc>
      </w:tr>
      <w:tr w:rsidR="007C606E" w:rsidRPr="007C606E" w:rsidTr="00520875">
        <w:trPr>
          <w:trHeight w:val="355"/>
        </w:trPr>
        <w:tc>
          <w:tcPr>
            <w:tcW w:w="6379"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r w:rsidRPr="007C606E">
              <w:rPr>
                <w:rFonts w:ascii="Arial" w:eastAsia="Times New Roman" w:hAnsi="Arial" w:cs="Arial"/>
                <w:color w:val="FFFFFF"/>
                <w:sz w:val="20"/>
                <w:szCs w:val="20"/>
                <w:lang w:eastAsia="en-GB"/>
              </w:rPr>
              <w:t xml:space="preserve">Relative Likelihood of White staff being appointed from shortlisting compared to </w:t>
            </w:r>
            <w:r w:rsidR="00EC4447">
              <w:rPr>
                <w:rFonts w:ascii="Arial" w:eastAsia="Times New Roman" w:hAnsi="Arial" w:cs="Arial"/>
                <w:color w:val="FFFFFF"/>
                <w:sz w:val="20"/>
                <w:szCs w:val="20"/>
                <w:lang w:eastAsia="en-GB"/>
              </w:rPr>
              <w:t>BME</w:t>
            </w:r>
          </w:p>
        </w:tc>
        <w:tc>
          <w:tcPr>
            <w:tcW w:w="2769" w:type="dxa"/>
            <w:vMerge w:val="restart"/>
            <w:tcBorders>
              <w:top w:val="nil"/>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B10224">
            <w:pPr>
              <w:spacing w:after="0" w:line="240" w:lineRule="auto"/>
              <w:jc w:val="cente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0.</w:t>
            </w:r>
            <w:r w:rsidR="00B10224">
              <w:rPr>
                <w:rFonts w:ascii="Arial" w:eastAsia="Times New Roman" w:hAnsi="Arial" w:cs="Arial"/>
                <w:b/>
                <w:bCs/>
                <w:color w:val="FFFFFF"/>
                <w:sz w:val="20"/>
                <w:szCs w:val="20"/>
                <w:lang w:eastAsia="en-GB"/>
              </w:rPr>
              <w:t>94</w:t>
            </w:r>
          </w:p>
        </w:tc>
      </w:tr>
      <w:tr w:rsidR="007C606E" w:rsidRPr="007C606E" w:rsidTr="00520875">
        <w:trPr>
          <w:trHeight w:val="355"/>
        </w:trPr>
        <w:tc>
          <w:tcPr>
            <w:tcW w:w="6379"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p>
        </w:tc>
        <w:tc>
          <w:tcPr>
            <w:tcW w:w="2769" w:type="dxa"/>
            <w:vMerge/>
            <w:tcBorders>
              <w:top w:val="nil"/>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p>
        </w:tc>
      </w:tr>
    </w:tbl>
    <w:p w:rsidR="002B39AF" w:rsidRDefault="002B39AF" w:rsidP="007C606E"/>
    <w:p w:rsidR="007C606E" w:rsidRPr="000E1B7C" w:rsidRDefault="007C606E" w:rsidP="000E1B7C">
      <w:pPr>
        <w:spacing w:after="0"/>
        <w:jc w:val="both"/>
        <w:rPr>
          <w:b/>
          <w:color w:val="595959" w:themeColor="text1" w:themeTint="A6"/>
        </w:rPr>
      </w:pPr>
      <w:r w:rsidRPr="000E1B7C">
        <w:rPr>
          <w:b/>
          <w:color w:val="595959" w:themeColor="text1" w:themeTint="A6"/>
        </w:rPr>
        <w:t>Previous Year 2017-18</w:t>
      </w:r>
    </w:p>
    <w:tbl>
      <w:tblPr>
        <w:tblW w:w="9209" w:type="dxa"/>
        <w:tblLook w:val="04A0" w:firstRow="1" w:lastRow="0" w:firstColumn="1" w:lastColumn="0" w:noHBand="0" w:noVBand="1"/>
      </w:tblPr>
      <w:tblGrid>
        <w:gridCol w:w="2601"/>
        <w:gridCol w:w="2323"/>
        <w:gridCol w:w="1450"/>
        <w:gridCol w:w="2835"/>
      </w:tblGrid>
      <w:tr w:rsidR="007C606E" w:rsidRPr="007C606E" w:rsidTr="00520875">
        <w:trPr>
          <w:trHeight w:val="409"/>
        </w:trPr>
        <w:tc>
          <w:tcPr>
            <w:tcW w:w="2601"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 </w:t>
            </w:r>
          </w:p>
        </w:tc>
        <w:tc>
          <w:tcPr>
            <w:tcW w:w="2323"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Shortlisted</w:t>
            </w:r>
          </w:p>
        </w:tc>
        <w:tc>
          <w:tcPr>
            <w:tcW w:w="1450"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Appointed</w:t>
            </w:r>
          </w:p>
        </w:tc>
        <w:tc>
          <w:tcPr>
            <w:tcW w:w="2835"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Relative Likelihood of Shortlisted/Appointed</w:t>
            </w:r>
          </w:p>
        </w:tc>
      </w:tr>
      <w:tr w:rsidR="007C606E" w:rsidRPr="007C606E" w:rsidTr="007C606E">
        <w:trPr>
          <w:trHeight w:val="340"/>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White</w:t>
            </w:r>
          </w:p>
        </w:tc>
        <w:tc>
          <w:tcPr>
            <w:tcW w:w="232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3111</w:t>
            </w:r>
          </w:p>
        </w:tc>
        <w:tc>
          <w:tcPr>
            <w:tcW w:w="1450"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433</w:t>
            </w:r>
          </w:p>
        </w:tc>
        <w:tc>
          <w:tcPr>
            <w:tcW w:w="2835"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13.92%</w:t>
            </w:r>
          </w:p>
        </w:tc>
      </w:tr>
      <w:tr w:rsidR="007C606E" w:rsidRPr="007C606E" w:rsidTr="007C606E">
        <w:trPr>
          <w:trHeight w:val="340"/>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EC4447" w:rsidP="007C606E">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232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264</w:t>
            </w:r>
          </w:p>
        </w:tc>
        <w:tc>
          <w:tcPr>
            <w:tcW w:w="1450"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29</w:t>
            </w:r>
          </w:p>
        </w:tc>
        <w:tc>
          <w:tcPr>
            <w:tcW w:w="2835"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10.98%</w:t>
            </w:r>
          </w:p>
        </w:tc>
      </w:tr>
      <w:tr w:rsidR="007C606E" w:rsidRPr="007C606E" w:rsidTr="007C606E">
        <w:trPr>
          <w:trHeight w:val="340"/>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Not Stated</w:t>
            </w:r>
          </w:p>
        </w:tc>
        <w:tc>
          <w:tcPr>
            <w:tcW w:w="232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43</w:t>
            </w:r>
          </w:p>
        </w:tc>
        <w:tc>
          <w:tcPr>
            <w:tcW w:w="1450"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14</w:t>
            </w:r>
          </w:p>
        </w:tc>
        <w:tc>
          <w:tcPr>
            <w:tcW w:w="2835"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32.56%</w:t>
            </w:r>
          </w:p>
        </w:tc>
      </w:tr>
      <w:tr w:rsidR="007C606E" w:rsidRPr="007C606E" w:rsidTr="007C606E">
        <w:trPr>
          <w:trHeight w:val="340"/>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I do not wish to disclose</w:t>
            </w:r>
          </w:p>
        </w:tc>
        <w:tc>
          <w:tcPr>
            <w:tcW w:w="2323"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8</w:t>
            </w:r>
          </w:p>
        </w:tc>
        <w:tc>
          <w:tcPr>
            <w:tcW w:w="1450"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w:t>
            </w:r>
          </w:p>
        </w:tc>
        <w:tc>
          <w:tcPr>
            <w:tcW w:w="2835"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25.00%</w:t>
            </w:r>
          </w:p>
        </w:tc>
      </w:tr>
      <w:tr w:rsidR="00520875" w:rsidRPr="007C606E" w:rsidTr="00520875">
        <w:trPr>
          <w:trHeight w:val="289"/>
        </w:trPr>
        <w:tc>
          <w:tcPr>
            <w:tcW w:w="6374"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r w:rsidRPr="007C606E">
              <w:rPr>
                <w:rFonts w:ascii="Arial" w:eastAsia="Times New Roman" w:hAnsi="Arial" w:cs="Arial"/>
                <w:color w:val="FFFFFF"/>
                <w:sz w:val="20"/>
                <w:szCs w:val="20"/>
                <w:lang w:eastAsia="en-GB"/>
              </w:rPr>
              <w:t xml:space="preserve">Relative Likelihood of White staff being appointed from shortlisting compared to </w:t>
            </w:r>
            <w:r w:rsidR="00EC4447">
              <w:rPr>
                <w:rFonts w:ascii="Arial" w:eastAsia="Times New Roman" w:hAnsi="Arial" w:cs="Arial"/>
                <w:color w:val="FFFFFF"/>
                <w:sz w:val="20"/>
                <w:szCs w:val="20"/>
                <w:lang w:eastAsia="en-GB"/>
              </w:rPr>
              <w:t>BME</w:t>
            </w:r>
          </w:p>
        </w:tc>
        <w:tc>
          <w:tcPr>
            <w:tcW w:w="2835" w:type="dxa"/>
            <w:vMerge w:val="restart"/>
            <w:tcBorders>
              <w:top w:val="nil"/>
              <w:left w:val="single" w:sz="4" w:space="0" w:color="auto"/>
              <w:bottom w:val="single" w:sz="4" w:space="0" w:color="auto"/>
              <w:right w:val="single" w:sz="4" w:space="0" w:color="auto"/>
            </w:tcBorders>
            <w:shd w:val="clear" w:color="auto" w:fill="5B9BD5" w:themeFill="accent1"/>
            <w:vAlign w:val="center"/>
            <w:hideMark/>
          </w:tcPr>
          <w:p w:rsidR="007C606E" w:rsidRPr="007C606E" w:rsidRDefault="00B10224" w:rsidP="00B10224">
            <w:pPr>
              <w:spacing w:after="0" w:line="240" w:lineRule="auto"/>
              <w:jc w:val="cente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1.27</w:t>
            </w:r>
          </w:p>
        </w:tc>
      </w:tr>
      <w:tr w:rsidR="007C606E" w:rsidRPr="007C606E" w:rsidTr="00520875">
        <w:trPr>
          <w:trHeight w:val="289"/>
        </w:trPr>
        <w:tc>
          <w:tcPr>
            <w:tcW w:w="6374"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p>
        </w:tc>
        <w:tc>
          <w:tcPr>
            <w:tcW w:w="2835" w:type="dxa"/>
            <w:vMerge/>
            <w:tcBorders>
              <w:top w:val="nil"/>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p>
        </w:tc>
      </w:tr>
    </w:tbl>
    <w:p w:rsidR="003B728C" w:rsidRDefault="003B728C" w:rsidP="003B728C">
      <w:pPr>
        <w:jc w:val="both"/>
      </w:pPr>
    </w:p>
    <w:p w:rsidR="00953734" w:rsidRDefault="00953734" w:rsidP="003B728C">
      <w:pPr>
        <w:jc w:val="both"/>
      </w:pPr>
      <w:r>
        <w:t xml:space="preserve">The relative likelihood for the current year 2018-19 indicates that BME </w:t>
      </w:r>
      <w:proofErr w:type="gramStart"/>
      <w:r>
        <w:t>staff are</w:t>
      </w:r>
      <w:proofErr w:type="gramEnd"/>
      <w:r>
        <w:t xml:space="preserve"> </w:t>
      </w:r>
      <w:r>
        <w:rPr>
          <w:b/>
          <w:u w:val="single"/>
        </w:rPr>
        <w:t>MORE</w:t>
      </w:r>
      <w:r w:rsidRPr="00953734">
        <w:rPr>
          <w:b/>
        </w:rPr>
        <w:t xml:space="preserve"> </w:t>
      </w:r>
      <w:r>
        <w:t xml:space="preserve">likely to be appointed when compared to white staff. This is in contrast to the previous year 2017-18 where BME </w:t>
      </w:r>
      <w:proofErr w:type="gramStart"/>
      <w:r>
        <w:t>staff were</w:t>
      </w:r>
      <w:proofErr w:type="gramEnd"/>
      <w:r>
        <w:t xml:space="preserve"> </w:t>
      </w:r>
      <w:r w:rsidRPr="00953734">
        <w:rPr>
          <w:b/>
          <w:u w:val="single"/>
        </w:rPr>
        <w:t>LESS</w:t>
      </w:r>
      <w:r>
        <w:t xml:space="preserve"> likely to be appointed when compared to white staff</w:t>
      </w:r>
    </w:p>
    <w:p w:rsidR="007C606E" w:rsidRDefault="007C606E">
      <w:pPr>
        <w:spacing w:after="0" w:line="240" w:lineRule="auto"/>
        <w:rPr>
          <w:b/>
        </w:rPr>
      </w:pPr>
      <w:r>
        <w:rPr>
          <w:b/>
        </w:rPr>
        <w:br w:type="page"/>
      </w:r>
    </w:p>
    <w:p w:rsidR="007C606E" w:rsidRDefault="007C606E" w:rsidP="003B728C">
      <w:pPr>
        <w:pStyle w:val="Heading3"/>
        <w:jc w:val="both"/>
      </w:pPr>
      <w:r w:rsidRPr="007C606E">
        <w:lastRenderedPageBreak/>
        <w:t xml:space="preserve">Indicator </w:t>
      </w:r>
      <w:r>
        <w:t xml:space="preserve">3 - </w:t>
      </w:r>
      <w:r w:rsidRPr="007C606E">
        <w:t>Relative likelihood of staff entering the formal disciplinary process, as measured by entry into a fo</w:t>
      </w:r>
      <w:r>
        <w:t>rmal disciplinary investigation</w:t>
      </w:r>
    </w:p>
    <w:p w:rsidR="002B39AF" w:rsidRPr="002B39AF" w:rsidRDefault="007C606E" w:rsidP="003B728C">
      <w:pPr>
        <w:jc w:val="both"/>
        <w:rPr>
          <w:i/>
        </w:rPr>
      </w:pPr>
      <w:r w:rsidRPr="002B39AF">
        <w:rPr>
          <w:i/>
        </w:rPr>
        <w:t>Note: This indicator is based on data from a two year rolling average of the current year and the previous year</w:t>
      </w:r>
    </w:p>
    <w:p w:rsidR="007C606E" w:rsidRPr="000E1B7C" w:rsidRDefault="00953734" w:rsidP="000E1B7C">
      <w:pPr>
        <w:spacing w:after="0"/>
        <w:jc w:val="both"/>
        <w:rPr>
          <w:b/>
          <w:color w:val="595959" w:themeColor="text1" w:themeTint="A6"/>
        </w:rPr>
      </w:pPr>
      <w:r w:rsidRPr="000E1B7C">
        <w:rPr>
          <w:b/>
          <w:color w:val="595959" w:themeColor="text1" w:themeTint="A6"/>
        </w:rPr>
        <w:t>Current year’s average</w:t>
      </w:r>
      <w:r w:rsidR="007C606E" w:rsidRPr="000E1B7C">
        <w:rPr>
          <w:b/>
          <w:color w:val="595959" w:themeColor="text1" w:themeTint="A6"/>
        </w:rPr>
        <w:t xml:space="preserve"> </w:t>
      </w:r>
      <w:r w:rsidRPr="000E1B7C">
        <w:rPr>
          <w:b/>
          <w:color w:val="595959" w:themeColor="text1" w:themeTint="A6"/>
        </w:rPr>
        <w:t>April 2017 to March 2019</w:t>
      </w:r>
    </w:p>
    <w:tbl>
      <w:tblPr>
        <w:tblW w:w="9451" w:type="dxa"/>
        <w:tblLook w:val="04A0" w:firstRow="1" w:lastRow="0" w:firstColumn="1" w:lastColumn="0" w:noHBand="0" w:noVBand="1"/>
      </w:tblPr>
      <w:tblGrid>
        <w:gridCol w:w="2247"/>
        <w:gridCol w:w="1859"/>
        <w:gridCol w:w="1701"/>
        <w:gridCol w:w="3644"/>
      </w:tblGrid>
      <w:tr w:rsidR="007C606E" w:rsidRPr="007C606E" w:rsidTr="00520875">
        <w:trPr>
          <w:trHeight w:val="655"/>
        </w:trPr>
        <w:tc>
          <w:tcPr>
            <w:tcW w:w="224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Average over 2 years</w:t>
            </w:r>
          </w:p>
        </w:tc>
        <w:tc>
          <w:tcPr>
            <w:tcW w:w="1859"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Entering Formal Disc Process</w:t>
            </w:r>
          </w:p>
        </w:tc>
        <w:tc>
          <w:tcPr>
            <w:tcW w:w="1701"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Headcount</w:t>
            </w:r>
          </w:p>
        </w:tc>
        <w:tc>
          <w:tcPr>
            <w:tcW w:w="3644"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Relative Likelihood of staff entering the Disciplinary Process</w:t>
            </w:r>
          </w:p>
        </w:tc>
      </w:tr>
      <w:tr w:rsidR="007C606E" w:rsidRPr="007C606E" w:rsidTr="00B10224">
        <w:trPr>
          <w:trHeight w:val="34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White</w:t>
            </w:r>
          </w:p>
        </w:tc>
        <w:tc>
          <w:tcPr>
            <w:tcW w:w="185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70</w:t>
            </w:r>
          </w:p>
        </w:tc>
        <w:tc>
          <w:tcPr>
            <w:tcW w:w="1701"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0F7A3A">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33</w:t>
            </w:r>
            <w:r w:rsidR="000F7A3A">
              <w:rPr>
                <w:rFonts w:ascii="Arial" w:eastAsia="Times New Roman" w:hAnsi="Arial" w:cs="Arial"/>
                <w:sz w:val="20"/>
                <w:szCs w:val="20"/>
                <w:lang w:eastAsia="en-GB"/>
              </w:rPr>
              <w:t>67</w:t>
            </w:r>
          </w:p>
        </w:tc>
        <w:tc>
          <w:tcPr>
            <w:tcW w:w="3644"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2.08%</w:t>
            </w:r>
          </w:p>
        </w:tc>
      </w:tr>
      <w:tr w:rsidR="007C606E" w:rsidRPr="007C606E" w:rsidTr="00B10224">
        <w:trPr>
          <w:trHeight w:val="34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EC4447" w:rsidP="007C606E">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185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7C606E" w:rsidRPr="007C606E" w:rsidRDefault="000F7A3A"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143</w:t>
            </w:r>
          </w:p>
        </w:tc>
        <w:tc>
          <w:tcPr>
            <w:tcW w:w="3644"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0.69%</w:t>
            </w:r>
          </w:p>
        </w:tc>
      </w:tr>
      <w:tr w:rsidR="007C606E" w:rsidRPr="007C606E" w:rsidTr="00B10224">
        <w:trPr>
          <w:trHeight w:val="34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Not Stated</w:t>
            </w:r>
          </w:p>
        </w:tc>
        <w:tc>
          <w:tcPr>
            <w:tcW w:w="1859"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rsidR="007C606E" w:rsidRPr="007C606E" w:rsidRDefault="000F7A3A"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106</w:t>
            </w:r>
          </w:p>
        </w:tc>
        <w:tc>
          <w:tcPr>
            <w:tcW w:w="3644" w:type="dxa"/>
            <w:tcBorders>
              <w:top w:val="nil"/>
              <w:left w:val="nil"/>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jc w:val="center"/>
              <w:rPr>
                <w:rFonts w:ascii="Arial" w:eastAsia="Times New Roman" w:hAnsi="Arial" w:cs="Arial"/>
                <w:sz w:val="20"/>
                <w:szCs w:val="20"/>
                <w:lang w:eastAsia="en-GB"/>
              </w:rPr>
            </w:pPr>
            <w:r w:rsidRPr="007C606E">
              <w:rPr>
                <w:rFonts w:ascii="Arial" w:eastAsia="Times New Roman" w:hAnsi="Arial" w:cs="Arial"/>
                <w:sz w:val="20"/>
                <w:szCs w:val="20"/>
                <w:lang w:eastAsia="en-GB"/>
              </w:rPr>
              <w:t>0.00%</w:t>
            </w:r>
          </w:p>
        </w:tc>
      </w:tr>
      <w:tr w:rsidR="007C606E" w:rsidRPr="007C606E" w:rsidTr="00520875">
        <w:trPr>
          <w:trHeight w:val="342"/>
        </w:trPr>
        <w:tc>
          <w:tcPr>
            <w:tcW w:w="5807"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r w:rsidRPr="007C606E">
              <w:rPr>
                <w:rFonts w:ascii="Arial" w:eastAsia="Times New Roman" w:hAnsi="Arial" w:cs="Arial"/>
                <w:color w:val="FFFFFF"/>
                <w:sz w:val="20"/>
                <w:szCs w:val="20"/>
                <w:lang w:eastAsia="en-GB"/>
              </w:rPr>
              <w:t xml:space="preserve">Relative Likelihood of </w:t>
            </w:r>
            <w:r w:rsidR="00EC4447">
              <w:rPr>
                <w:rFonts w:ascii="Arial" w:eastAsia="Times New Roman" w:hAnsi="Arial" w:cs="Arial"/>
                <w:color w:val="FFFFFF"/>
                <w:sz w:val="20"/>
                <w:szCs w:val="20"/>
                <w:lang w:eastAsia="en-GB"/>
              </w:rPr>
              <w:t>BME</w:t>
            </w:r>
            <w:r w:rsidRPr="007C606E">
              <w:rPr>
                <w:rFonts w:ascii="Arial" w:eastAsia="Times New Roman" w:hAnsi="Arial" w:cs="Arial"/>
                <w:color w:val="FFFFFF"/>
                <w:sz w:val="20"/>
                <w:szCs w:val="20"/>
                <w:lang w:eastAsia="en-GB"/>
              </w:rPr>
              <w:t xml:space="preserve"> staff entering the formal </w:t>
            </w:r>
            <w:r w:rsidR="00B10224" w:rsidRPr="007C606E">
              <w:rPr>
                <w:rFonts w:ascii="Arial" w:eastAsia="Times New Roman" w:hAnsi="Arial" w:cs="Arial"/>
                <w:color w:val="FFFFFF"/>
                <w:sz w:val="20"/>
                <w:szCs w:val="20"/>
                <w:lang w:eastAsia="en-GB"/>
              </w:rPr>
              <w:t>Disciplinary</w:t>
            </w:r>
            <w:r w:rsidRPr="007C606E">
              <w:rPr>
                <w:rFonts w:ascii="Arial" w:eastAsia="Times New Roman" w:hAnsi="Arial" w:cs="Arial"/>
                <w:color w:val="FFFFFF"/>
                <w:sz w:val="20"/>
                <w:szCs w:val="20"/>
                <w:lang w:eastAsia="en-GB"/>
              </w:rPr>
              <w:t xml:space="preserve"> process compared to White staff.  </w:t>
            </w:r>
          </w:p>
        </w:tc>
        <w:tc>
          <w:tcPr>
            <w:tcW w:w="3644" w:type="dxa"/>
            <w:vMerge w:val="restart"/>
            <w:tcBorders>
              <w:top w:val="nil"/>
              <w:left w:val="single" w:sz="4" w:space="0" w:color="auto"/>
              <w:bottom w:val="single" w:sz="4" w:space="0" w:color="000000"/>
              <w:right w:val="single" w:sz="4" w:space="0" w:color="auto"/>
            </w:tcBorders>
            <w:shd w:val="clear" w:color="auto" w:fill="5B9BD5" w:themeFill="accent1"/>
            <w:noWrap/>
            <w:vAlign w:val="center"/>
            <w:hideMark/>
          </w:tcPr>
          <w:p w:rsidR="007C606E" w:rsidRPr="007C606E" w:rsidRDefault="007C606E" w:rsidP="000F7A3A">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0.3</w:t>
            </w:r>
            <w:r w:rsidR="000F7A3A">
              <w:rPr>
                <w:rFonts w:ascii="Arial" w:eastAsia="Times New Roman" w:hAnsi="Arial" w:cs="Arial"/>
                <w:b/>
                <w:bCs/>
                <w:color w:val="FFFFFF"/>
                <w:sz w:val="20"/>
                <w:szCs w:val="20"/>
                <w:lang w:eastAsia="en-GB"/>
              </w:rPr>
              <w:t>4</w:t>
            </w:r>
          </w:p>
        </w:tc>
      </w:tr>
      <w:tr w:rsidR="007C606E" w:rsidRPr="007C606E" w:rsidTr="00520875">
        <w:trPr>
          <w:trHeight w:val="342"/>
        </w:trPr>
        <w:tc>
          <w:tcPr>
            <w:tcW w:w="5807"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p>
        </w:tc>
        <w:tc>
          <w:tcPr>
            <w:tcW w:w="3644" w:type="dxa"/>
            <w:vMerge/>
            <w:tcBorders>
              <w:top w:val="nil"/>
              <w:left w:val="single" w:sz="4" w:space="0" w:color="auto"/>
              <w:bottom w:val="single" w:sz="4" w:space="0" w:color="000000"/>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p>
        </w:tc>
      </w:tr>
    </w:tbl>
    <w:p w:rsidR="002B39AF" w:rsidRDefault="002B39AF" w:rsidP="003B728C">
      <w:pPr>
        <w:jc w:val="both"/>
      </w:pPr>
    </w:p>
    <w:p w:rsidR="00953734" w:rsidRPr="000E1B7C" w:rsidRDefault="00953734" w:rsidP="000E1B7C">
      <w:pPr>
        <w:spacing w:after="0"/>
        <w:jc w:val="both"/>
        <w:rPr>
          <w:b/>
          <w:color w:val="595959" w:themeColor="text1" w:themeTint="A6"/>
        </w:rPr>
      </w:pPr>
      <w:r w:rsidRPr="000E1B7C">
        <w:rPr>
          <w:b/>
          <w:color w:val="595959" w:themeColor="text1" w:themeTint="A6"/>
        </w:rPr>
        <w:t>Previous year’s average April 2016 to March 2018</w:t>
      </w:r>
    </w:p>
    <w:tbl>
      <w:tblPr>
        <w:tblW w:w="9473" w:type="dxa"/>
        <w:tblLook w:val="04A0" w:firstRow="1" w:lastRow="0" w:firstColumn="1" w:lastColumn="0" w:noHBand="0" w:noVBand="1"/>
      </w:tblPr>
      <w:tblGrid>
        <w:gridCol w:w="2263"/>
        <w:gridCol w:w="1843"/>
        <w:gridCol w:w="1701"/>
        <w:gridCol w:w="3666"/>
      </w:tblGrid>
      <w:tr w:rsidR="00520875" w:rsidRPr="00B10224" w:rsidTr="00520875">
        <w:trPr>
          <w:trHeight w:val="624"/>
        </w:trPr>
        <w:tc>
          <w:tcPr>
            <w:tcW w:w="226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Average over 2 years</w:t>
            </w:r>
          </w:p>
        </w:tc>
        <w:tc>
          <w:tcPr>
            <w:tcW w:w="1843"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Entering Formal Disc Process</w:t>
            </w:r>
          </w:p>
        </w:tc>
        <w:tc>
          <w:tcPr>
            <w:tcW w:w="1701"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Headcount</w:t>
            </w:r>
          </w:p>
        </w:tc>
        <w:tc>
          <w:tcPr>
            <w:tcW w:w="3666"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Relative Likelihood of staff entering the Disciplinary Process</w:t>
            </w:r>
          </w:p>
        </w:tc>
      </w:tr>
      <w:tr w:rsidR="00B10224" w:rsidRPr="00B10224" w:rsidTr="00B10224">
        <w:trPr>
          <w:trHeight w:val="3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White</w:t>
            </w:r>
          </w:p>
        </w:tc>
        <w:tc>
          <w:tcPr>
            <w:tcW w:w="1843"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82</w:t>
            </w:r>
          </w:p>
        </w:tc>
        <w:tc>
          <w:tcPr>
            <w:tcW w:w="1701"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0F7A3A">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32</w:t>
            </w:r>
            <w:r w:rsidR="000F7A3A">
              <w:rPr>
                <w:rFonts w:ascii="Arial" w:eastAsia="Times New Roman" w:hAnsi="Arial" w:cs="Arial"/>
                <w:sz w:val="20"/>
                <w:szCs w:val="20"/>
                <w:lang w:eastAsia="en-GB"/>
              </w:rPr>
              <w:t>58</w:t>
            </w:r>
          </w:p>
        </w:tc>
        <w:tc>
          <w:tcPr>
            <w:tcW w:w="3666"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0F7A3A">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2.5</w:t>
            </w:r>
            <w:r w:rsidR="000F7A3A">
              <w:rPr>
                <w:rFonts w:ascii="Arial" w:eastAsia="Times New Roman" w:hAnsi="Arial" w:cs="Arial"/>
                <w:sz w:val="20"/>
                <w:szCs w:val="20"/>
                <w:lang w:eastAsia="en-GB"/>
              </w:rPr>
              <w:t>2</w:t>
            </w:r>
            <w:r w:rsidRPr="00B10224">
              <w:rPr>
                <w:rFonts w:ascii="Arial" w:eastAsia="Times New Roman" w:hAnsi="Arial" w:cs="Arial"/>
                <w:sz w:val="20"/>
                <w:szCs w:val="20"/>
                <w:lang w:eastAsia="en-GB"/>
              </w:rPr>
              <w:t>%</w:t>
            </w:r>
          </w:p>
        </w:tc>
      </w:tr>
      <w:tr w:rsidR="00B10224" w:rsidRPr="00B10224" w:rsidTr="00B10224">
        <w:trPr>
          <w:trHeight w:val="3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EC4447" w:rsidP="00B1022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1843"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5</w:t>
            </w:r>
          </w:p>
        </w:tc>
        <w:tc>
          <w:tcPr>
            <w:tcW w:w="1701" w:type="dxa"/>
            <w:tcBorders>
              <w:top w:val="nil"/>
              <w:left w:val="nil"/>
              <w:bottom w:val="single" w:sz="4" w:space="0" w:color="auto"/>
              <w:right w:val="single" w:sz="4" w:space="0" w:color="auto"/>
            </w:tcBorders>
            <w:shd w:val="clear" w:color="auto" w:fill="auto"/>
            <w:noWrap/>
            <w:vAlign w:val="center"/>
            <w:hideMark/>
          </w:tcPr>
          <w:p w:rsidR="00B10224" w:rsidRPr="00B10224" w:rsidRDefault="006C5452"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140</w:t>
            </w:r>
          </w:p>
        </w:tc>
        <w:tc>
          <w:tcPr>
            <w:tcW w:w="3666" w:type="dxa"/>
            <w:tcBorders>
              <w:top w:val="nil"/>
              <w:left w:val="nil"/>
              <w:bottom w:val="single" w:sz="4" w:space="0" w:color="auto"/>
              <w:right w:val="single" w:sz="4" w:space="0" w:color="auto"/>
            </w:tcBorders>
            <w:shd w:val="clear" w:color="auto" w:fill="auto"/>
            <w:noWrap/>
            <w:vAlign w:val="center"/>
            <w:hideMark/>
          </w:tcPr>
          <w:p w:rsidR="00B10224" w:rsidRPr="00B10224" w:rsidRDefault="000F7A3A" w:rsidP="006C545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3.5</w:t>
            </w:r>
            <w:r w:rsidR="006C5452">
              <w:rPr>
                <w:rFonts w:ascii="Arial" w:eastAsia="Times New Roman" w:hAnsi="Arial" w:cs="Arial"/>
                <w:sz w:val="20"/>
                <w:szCs w:val="20"/>
                <w:lang w:eastAsia="en-GB"/>
              </w:rPr>
              <w:t>7</w:t>
            </w:r>
            <w:r w:rsidR="00B10224" w:rsidRPr="00B10224">
              <w:rPr>
                <w:rFonts w:ascii="Arial" w:eastAsia="Times New Roman" w:hAnsi="Arial" w:cs="Arial"/>
                <w:sz w:val="20"/>
                <w:szCs w:val="20"/>
                <w:lang w:eastAsia="en-GB"/>
              </w:rPr>
              <w:t>%</w:t>
            </w:r>
          </w:p>
        </w:tc>
      </w:tr>
      <w:tr w:rsidR="00B10224" w:rsidRPr="00B10224" w:rsidTr="00B10224">
        <w:trPr>
          <w:trHeight w:val="3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Not Stated</w:t>
            </w:r>
          </w:p>
        </w:tc>
        <w:tc>
          <w:tcPr>
            <w:tcW w:w="1843"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77</w:t>
            </w:r>
          </w:p>
        </w:tc>
        <w:tc>
          <w:tcPr>
            <w:tcW w:w="3666"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0.00%</w:t>
            </w:r>
          </w:p>
        </w:tc>
      </w:tr>
      <w:tr w:rsidR="00B10224" w:rsidRPr="00B10224" w:rsidTr="00520875">
        <w:trPr>
          <w:trHeight w:val="325"/>
        </w:trPr>
        <w:tc>
          <w:tcPr>
            <w:tcW w:w="5807"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color w:val="FFFFFF"/>
                <w:sz w:val="20"/>
                <w:szCs w:val="20"/>
                <w:lang w:eastAsia="en-GB"/>
              </w:rPr>
            </w:pPr>
            <w:r w:rsidRPr="00B10224">
              <w:rPr>
                <w:rFonts w:ascii="Arial" w:eastAsia="Times New Roman" w:hAnsi="Arial" w:cs="Arial"/>
                <w:color w:val="FFFFFF"/>
                <w:sz w:val="20"/>
                <w:szCs w:val="20"/>
                <w:lang w:eastAsia="en-GB"/>
              </w:rPr>
              <w:t xml:space="preserve">Relative Likelihood of </w:t>
            </w:r>
            <w:r w:rsidR="00EC4447">
              <w:rPr>
                <w:rFonts w:ascii="Arial" w:eastAsia="Times New Roman" w:hAnsi="Arial" w:cs="Arial"/>
                <w:color w:val="FFFFFF"/>
                <w:sz w:val="20"/>
                <w:szCs w:val="20"/>
                <w:lang w:eastAsia="en-GB"/>
              </w:rPr>
              <w:t>BME</w:t>
            </w:r>
            <w:r w:rsidRPr="00B10224">
              <w:rPr>
                <w:rFonts w:ascii="Arial" w:eastAsia="Times New Roman" w:hAnsi="Arial" w:cs="Arial"/>
                <w:color w:val="FFFFFF"/>
                <w:sz w:val="20"/>
                <w:szCs w:val="20"/>
                <w:lang w:eastAsia="en-GB"/>
              </w:rPr>
              <w:t xml:space="preserve"> staff entering the formal Disciplinary process compared to White staff.  </w:t>
            </w:r>
          </w:p>
        </w:tc>
        <w:tc>
          <w:tcPr>
            <w:tcW w:w="3666" w:type="dxa"/>
            <w:vMerge w:val="restart"/>
            <w:tcBorders>
              <w:top w:val="nil"/>
              <w:left w:val="single" w:sz="4" w:space="0" w:color="auto"/>
              <w:bottom w:val="single" w:sz="4" w:space="0" w:color="000000"/>
              <w:right w:val="single" w:sz="4" w:space="0" w:color="auto"/>
            </w:tcBorders>
            <w:shd w:val="clear" w:color="auto" w:fill="5B9BD5" w:themeFill="accent1"/>
            <w:noWrap/>
            <w:vAlign w:val="center"/>
            <w:hideMark/>
          </w:tcPr>
          <w:p w:rsidR="00B10224" w:rsidRPr="00B10224" w:rsidRDefault="00B10224" w:rsidP="006C5452">
            <w:pPr>
              <w:spacing w:after="0" w:line="240" w:lineRule="auto"/>
              <w:jc w:val="center"/>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1.</w:t>
            </w:r>
            <w:r w:rsidR="006C5452">
              <w:rPr>
                <w:rFonts w:ascii="Arial" w:eastAsia="Times New Roman" w:hAnsi="Arial" w:cs="Arial"/>
                <w:b/>
                <w:bCs/>
                <w:color w:val="FFFFFF"/>
                <w:sz w:val="20"/>
                <w:szCs w:val="20"/>
                <w:lang w:eastAsia="en-GB"/>
              </w:rPr>
              <w:t>42</w:t>
            </w:r>
          </w:p>
        </w:tc>
      </w:tr>
      <w:tr w:rsidR="00B10224" w:rsidRPr="00B10224" w:rsidTr="00520875">
        <w:trPr>
          <w:trHeight w:val="325"/>
        </w:trPr>
        <w:tc>
          <w:tcPr>
            <w:tcW w:w="5807"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color w:val="FFFFFF"/>
                <w:sz w:val="20"/>
                <w:szCs w:val="20"/>
                <w:lang w:eastAsia="en-GB"/>
              </w:rPr>
            </w:pPr>
          </w:p>
        </w:tc>
        <w:tc>
          <w:tcPr>
            <w:tcW w:w="3666" w:type="dxa"/>
            <w:vMerge/>
            <w:tcBorders>
              <w:top w:val="nil"/>
              <w:left w:val="single" w:sz="4" w:space="0" w:color="auto"/>
              <w:bottom w:val="single" w:sz="4" w:space="0" w:color="000000"/>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p>
        </w:tc>
      </w:tr>
    </w:tbl>
    <w:p w:rsidR="000F7A3A" w:rsidRDefault="000F7A3A" w:rsidP="003B728C">
      <w:pPr>
        <w:jc w:val="both"/>
      </w:pPr>
    </w:p>
    <w:p w:rsidR="00953734" w:rsidRDefault="00953734" w:rsidP="003B728C">
      <w:pPr>
        <w:jc w:val="both"/>
      </w:pPr>
      <w:r>
        <w:t xml:space="preserve">The relative likelihood of the current year’s average for April 2017 to March 2019 indicates that BME staff are </w:t>
      </w:r>
      <w:r>
        <w:rPr>
          <w:b/>
          <w:u w:val="single"/>
        </w:rPr>
        <w:t>LESS</w:t>
      </w:r>
      <w:r w:rsidRPr="00953734">
        <w:rPr>
          <w:b/>
          <w:i/>
        </w:rPr>
        <w:t xml:space="preserve"> </w:t>
      </w:r>
      <w:r>
        <w:t xml:space="preserve">likely to enter the formal disciplinary process when compared to white staff. This is in contrast to the previous year’s April 2016 to March 2018 where BME staff were </w:t>
      </w:r>
      <w:r w:rsidRPr="00953734">
        <w:rPr>
          <w:b/>
          <w:u w:val="single"/>
        </w:rPr>
        <w:t>MORE</w:t>
      </w:r>
      <w:r>
        <w:t xml:space="preserve"> likely </w:t>
      </w:r>
      <w:r w:rsidRPr="00953734">
        <w:t>to</w:t>
      </w:r>
      <w:r>
        <w:t xml:space="preserve"> enter the formal disciplinary process when compared to white staff</w:t>
      </w:r>
    </w:p>
    <w:p w:rsidR="00B10224" w:rsidRDefault="00B10224" w:rsidP="003B728C">
      <w:pPr>
        <w:spacing w:after="0" w:line="240" w:lineRule="auto"/>
        <w:jc w:val="both"/>
      </w:pPr>
      <w:r>
        <w:br w:type="page"/>
      </w:r>
    </w:p>
    <w:p w:rsidR="00B10224" w:rsidRDefault="00B10224" w:rsidP="003B728C">
      <w:pPr>
        <w:pStyle w:val="Heading3"/>
        <w:jc w:val="both"/>
      </w:pPr>
      <w:r w:rsidRPr="007C606E">
        <w:lastRenderedPageBreak/>
        <w:t xml:space="preserve">Indicator </w:t>
      </w:r>
      <w:r>
        <w:t xml:space="preserve">4 - </w:t>
      </w:r>
      <w:r w:rsidRPr="00B10224">
        <w:t>Relative likelihood of staff accessing non-mandatory training and CPD</w:t>
      </w:r>
    </w:p>
    <w:p w:rsidR="002B39AF" w:rsidRPr="002B39AF" w:rsidRDefault="002B39AF" w:rsidP="003B728C">
      <w:pPr>
        <w:jc w:val="both"/>
      </w:pPr>
    </w:p>
    <w:p w:rsidR="00B10224" w:rsidRPr="000E1B7C" w:rsidRDefault="00B10224" w:rsidP="000E1B7C">
      <w:pPr>
        <w:spacing w:after="0"/>
        <w:jc w:val="both"/>
        <w:rPr>
          <w:b/>
          <w:color w:val="595959" w:themeColor="text1" w:themeTint="A6"/>
        </w:rPr>
      </w:pPr>
      <w:r w:rsidRPr="000E1B7C">
        <w:rPr>
          <w:b/>
          <w:color w:val="595959" w:themeColor="text1" w:themeTint="A6"/>
        </w:rPr>
        <w:t>Current Year 2018-19</w:t>
      </w:r>
    </w:p>
    <w:tbl>
      <w:tblPr>
        <w:tblW w:w="9209" w:type="dxa"/>
        <w:tblLook w:val="04A0" w:firstRow="1" w:lastRow="0" w:firstColumn="1" w:lastColumn="0" w:noHBand="0" w:noVBand="1"/>
      </w:tblPr>
      <w:tblGrid>
        <w:gridCol w:w="1999"/>
        <w:gridCol w:w="3138"/>
        <w:gridCol w:w="1250"/>
        <w:gridCol w:w="2822"/>
      </w:tblGrid>
      <w:tr w:rsidR="00B10224" w:rsidRPr="00B10224" w:rsidTr="00520875">
        <w:trPr>
          <w:trHeight w:val="765"/>
        </w:trPr>
        <w:tc>
          <w:tcPr>
            <w:tcW w:w="1999"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 </w:t>
            </w:r>
          </w:p>
        </w:tc>
        <w:tc>
          <w:tcPr>
            <w:tcW w:w="3138"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Accessing non-</w:t>
            </w:r>
            <w:proofErr w:type="spellStart"/>
            <w:r w:rsidRPr="00B10224">
              <w:rPr>
                <w:rFonts w:ascii="Arial" w:eastAsia="Times New Roman" w:hAnsi="Arial" w:cs="Arial"/>
                <w:b/>
                <w:bCs/>
                <w:color w:val="FFFFFF"/>
                <w:sz w:val="20"/>
                <w:szCs w:val="20"/>
                <w:lang w:eastAsia="en-GB"/>
              </w:rPr>
              <w:t>mand</w:t>
            </w:r>
            <w:proofErr w:type="spellEnd"/>
            <w:r w:rsidRPr="00B10224">
              <w:rPr>
                <w:rFonts w:ascii="Arial" w:eastAsia="Times New Roman" w:hAnsi="Arial" w:cs="Arial"/>
                <w:b/>
                <w:bCs/>
                <w:color w:val="FFFFFF"/>
                <w:sz w:val="20"/>
                <w:szCs w:val="20"/>
                <w:lang w:eastAsia="en-GB"/>
              </w:rPr>
              <w:t xml:space="preserve"> / CPD training</w:t>
            </w:r>
          </w:p>
        </w:tc>
        <w:tc>
          <w:tcPr>
            <w:tcW w:w="1250"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Headcount</w:t>
            </w:r>
          </w:p>
        </w:tc>
        <w:tc>
          <w:tcPr>
            <w:tcW w:w="2822"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Relative Likelihood of staff accessing non-</w:t>
            </w:r>
            <w:proofErr w:type="spellStart"/>
            <w:r w:rsidRPr="00B10224">
              <w:rPr>
                <w:rFonts w:ascii="Arial" w:eastAsia="Times New Roman" w:hAnsi="Arial" w:cs="Arial"/>
                <w:b/>
                <w:bCs/>
                <w:color w:val="FFFFFF"/>
                <w:sz w:val="20"/>
                <w:szCs w:val="20"/>
                <w:lang w:eastAsia="en-GB"/>
              </w:rPr>
              <w:t>mand</w:t>
            </w:r>
            <w:proofErr w:type="spellEnd"/>
            <w:r w:rsidRPr="00B10224">
              <w:rPr>
                <w:rFonts w:ascii="Arial" w:eastAsia="Times New Roman" w:hAnsi="Arial" w:cs="Arial"/>
                <w:b/>
                <w:bCs/>
                <w:color w:val="FFFFFF"/>
                <w:sz w:val="20"/>
                <w:szCs w:val="20"/>
                <w:lang w:eastAsia="en-GB"/>
              </w:rPr>
              <w:t xml:space="preserve"> / CPD training</w:t>
            </w:r>
          </w:p>
        </w:tc>
      </w:tr>
      <w:tr w:rsidR="00B10224" w:rsidRPr="00B10224" w:rsidTr="00B10224">
        <w:trPr>
          <w:trHeight w:val="340"/>
        </w:trPr>
        <w:tc>
          <w:tcPr>
            <w:tcW w:w="1999" w:type="dxa"/>
            <w:tcBorders>
              <w:top w:val="nil"/>
              <w:left w:val="single" w:sz="4" w:space="0" w:color="auto"/>
              <w:bottom w:val="single" w:sz="4" w:space="0" w:color="auto"/>
              <w:right w:val="single" w:sz="4" w:space="0" w:color="auto"/>
            </w:tcBorders>
            <w:shd w:val="clear" w:color="auto" w:fill="auto"/>
            <w:noWrap/>
            <w:vAlign w:val="center"/>
            <w:hideMark/>
          </w:tcPr>
          <w:p w:rsidR="00B10224" w:rsidRPr="00E36DBE" w:rsidRDefault="00B10224" w:rsidP="00B10224">
            <w:pPr>
              <w:spacing w:after="0" w:line="240" w:lineRule="auto"/>
              <w:rPr>
                <w:rFonts w:ascii="Arial" w:eastAsia="Times New Roman" w:hAnsi="Arial" w:cs="Arial"/>
                <w:sz w:val="20"/>
                <w:szCs w:val="20"/>
                <w:lang w:eastAsia="en-GB"/>
              </w:rPr>
            </w:pPr>
            <w:r w:rsidRPr="00E36DBE">
              <w:rPr>
                <w:rFonts w:ascii="Arial" w:eastAsia="Times New Roman" w:hAnsi="Arial" w:cs="Arial"/>
                <w:sz w:val="20"/>
                <w:szCs w:val="20"/>
                <w:lang w:eastAsia="en-GB"/>
              </w:rPr>
              <w:t>White</w:t>
            </w:r>
          </w:p>
        </w:tc>
        <w:tc>
          <w:tcPr>
            <w:tcW w:w="3138" w:type="dxa"/>
            <w:tcBorders>
              <w:top w:val="nil"/>
              <w:left w:val="nil"/>
              <w:bottom w:val="nil"/>
              <w:right w:val="nil"/>
            </w:tcBorders>
            <w:shd w:val="clear" w:color="auto" w:fill="auto"/>
            <w:noWrap/>
            <w:vAlign w:val="center"/>
            <w:hideMark/>
          </w:tcPr>
          <w:p w:rsidR="00B10224" w:rsidRPr="00E36DBE" w:rsidRDefault="00B10224" w:rsidP="006A7C8C">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 xml:space="preserve"> </w:t>
            </w:r>
            <w:r w:rsidR="006A7C8C" w:rsidRPr="00E36DBE">
              <w:rPr>
                <w:rFonts w:ascii="Arial" w:eastAsia="Times New Roman" w:hAnsi="Arial" w:cs="Arial"/>
                <w:sz w:val="20"/>
                <w:szCs w:val="20"/>
                <w:lang w:eastAsia="en-GB"/>
              </w:rPr>
              <w:t>1065</w:t>
            </w:r>
          </w:p>
        </w:tc>
        <w:tc>
          <w:tcPr>
            <w:tcW w:w="1250" w:type="dxa"/>
            <w:tcBorders>
              <w:top w:val="nil"/>
              <w:left w:val="single" w:sz="4" w:space="0" w:color="auto"/>
              <w:bottom w:val="single" w:sz="4" w:space="0" w:color="auto"/>
              <w:right w:val="single" w:sz="4" w:space="0" w:color="auto"/>
            </w:tcBorders>
            <w:shd w:val="clear" w:color="auto" w:fill="auto"/>
            <w:noWrap/>
            <w:vAlign w:val="center"/>
            <w:hideMark/>
          </w:tcPr>
          <w:p w:rsidR="00B10224" w:rsidRPr="00E36DBE" w:rsidRDefault="00B10224" w:rsidP="006A7C8C">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33</w:t>
            </w:r>
            <w:r w:rsidR="006A7C8C" w:rsidRPr="00E36DBE">
              <w:rPr>
                <w:rFonts w:ascii="Arial" w:eastAsia="Times New Roman" w:hAnsi="Arial" w:cs="Arial"/>
                <w:sz w:val="20"/>
                <w:szCs w:val="20"/>
                <w:lang w:eastAsia="en-GB"/>
              </w:rPr>
              <w:t>67</w:t>
            </w:r>
          </w:p>
        </w:tc>
        <w:tc>
          <w:tcPr>
            <w:tcW w:w="2822" w:type="dxa"/>
            <w:tcBorders>
              <w:top w:val="nil"/>
              <w:left w:val="nil"/>
              <w:bottom w:val="single" w:sz="4" w:space="0" w:color="auto"/>
              <w:right w:val="single" w:sz="4" w:space="0" w:color="auto"/>
            </w:tcBorders>
            <w:shd w:val="clear" w:color="auto" w:fill="auto"/>
            <w:noWrap/>
            <w:vAlign w:val="center"/>
            <w:hideMark/>
          </w:tcPr>
          <w:p w:rsidR="00B10224" w:rsidRPr="00E36DBE" w:rsidRDefault="006A7C8C"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31.63%</w:t>
            </w:r>
            <w:r w:rsidR="00B10224" w:rsidRPr="00E36DBE">
              <w:rPr>
                <w:rFonts w:ascii="Arial" w:eastAsia="Times New Roman" w:hAnsi="Arial" w:cs="Arial"/>
                <w:sz w:val="20"/>
                <w:szCs w:val="20"/>
                <w:lang w:eastAsia="en-GB"/>
              </w:rPr>
              <w:t xml:space="preserve"> </w:t>
            </w:r>
          </w:p>
        </w:tc>
      </w:tr>
      <w:tr w:rsidR="00B10224" w:rsidRPr="00B10224" w:rsidTr="00B10224">
        <w:trPr>
          <w:trHeight w:val="340"/>
        </w:trPr>
        <w:tc>
          <w:tcPr>
            <w:tcW w:w="1999" w:type="dxa"/>
            <w:tcBorders>
              <w:top w:val="nil"/>
              <w:left w:val="single" w:sz="4" w:space="0" w:color="auto"/>
              <w:bottom w:val="single" w:sz="4" w:space="0" w:color="auto"/>
              <w:right w:val="single" w:sz="4" w:space="0" w:color="auto"/>
            </w:tcBorders>
            <w:shd w:val="clear" w:color="auto" w:fill="auto"/>
            <w:noWrap/>
            <w:vAlign w:val="center"/>
            <w:hideMark/>
          </w:tcPr>
          <w:p w:rsidR="00B10224" w:rsidRPr="00E36DBE" w:rsidRDefault="00EC4447" w:rsidP="00B10224">
            <w:pPr>
              <w:spacing w:after="0" w:line="240" w:lineRule="auto"/>
              <w:rPr>
                <w:rFonts w:ascii="Arial" w:eastAsia="Times New Roman" w:hAnsi="Arial" w:cs="Arial"/>
                <w:sz w:val="20"/>
                <w:szCs w:val="20"/>
                <w:lang w:eastAsia="en-GB"/>
              </w:rPr>
            </w:pPr>
            <w:r w:rsidRPr="00E36DBE">
              <w:rPr>
                <w:rFonts w:ascii="Arial" w:eastAsia="Times New Roman" w:hAnsi="Arial" w:cs="Arial"/>
                <w:sz w:val="20"/>
                <w:szCs w:val="20"/>
                <w:lang w:eastAsia="en-GB"/>
              </w:rPr>
              <w:t>BME</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B10224" w:rsidRPr="00E36DBE" w:rsidRDefault="006A7C8C"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53</w:t>
            </w:r>
          </w:p>
        </w:tc>
        <w:tc>
          <w:tcPr>
            <w:tcW w:w="1250" w:type="dxa"/>
            <w:tcBorders>
              <w:top w:val="nil"/>
              <w:left w:val="nil"/>
              <w:bottom w:val="single" w:sz="4" w:space="0" w:color="auto"/>
              <w:right w:val="single" w:sz="4" w:space="0" w:color="auto"/>
            </w:tcBorders>
            <w:shd w:val="clear" w:color="auto" w:fill="auto"/>
            <w:noWrap/>
            <w:vAlign w:val="center"/>
            <w:hideMark/>
          </w:tcPr>
          <w:p w:rsidR="00B10224" w:rsidRPr="00E36DBE" w:rsidRDefault="006A7C8C"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143</w:t>
            </w:r>
          </w:p>
        </w:tc>
        <w:tc>
          <w:tcPr>
            <w:tcW w:w="2822" w:type="dxa"/>
            <w:tcBorders>
              <w:top w:val="nil"/>
              <w:left w:val="nil"/>
              <w:bottom w:val="single" w:sz="4" w:space="0" w:color="auto"/>
              <w:right w:val="single" w:sz="4" w:space="0" w:color="auto"/>
            </w:tcBorders>
            <w:shd w:val="clear" w:color="auto" w:fill="auto"/>
            <w:noWrap/>
            <w:vAlign w:val="center"/>
            <w:hideMark/>
          </w:tcPr>
          <w:p w:rsidR="00B10224" w:rsidRPr="00E36DBE" w:rsidRDefault="006A7C8C"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37.06%</w:t>
            </w:r>
          </w:p>
        </w:tc>
      </w:tr>
      <w:tr w:rsidR="00B10224" w:rsidRPr="00B10224" w:rsidTr="00B10224">
        <w:trPr>
          <w:trHeight w:val="340"/>
        </w:trPr>
        <w:tc>
          <w:tcPr>
            <w:tcW w:w="1999" w:type="dxa"/>
            <w:tcBorders>
              <w:top w:val="nil"/>
              <w:left w:val="single" w:sz="4" w:space="0" w:color="auto"/>
              <w:bottom w:val="single" w:sz="4" w:space="0" w:color="auto"/>
              <w:right w:val="single" w:sz="4" w:space="0" w:color="auto"/>
            </w:tcBorders>
            <w:shd w:val="clear" w:color="auto" w:fill="auto"/>
            <w:noWrap/>
            <w:vAlign w:val="center"/>
            <w:hideMark/>
          </w:tcPr>
          <w:p w:rsidR="00B10224" w:rsidRPr="00E36DBE" w:rsidRDefault="00B10224" w:rsidP="00B10224">
            <w:pPr>
              <w:spacing w:after="0" w:line="240" w:lineRule="auto"/>
              <w:rPr>
                <w:rFonts w:ascii="Arial" w:eastAsia="Times New Roman" w:hAnsi="Arial" w:cs="Arial"/>
                <w:sz w:val="20"/>
                <w:szCs w:val="20"/>
                <w:lang w:eastAsia="en-GB"/>
              </w:rPr>
            </w:pPr>
            <w:r w:rsidRPr="00E36DBE">
              <w:rPr>
                <w:rFonts w:ascii="Arial" w:eastAsia="Times New Roman" w:hAnsi="Arial" w:cs="Arial"/>
                <w:sz w:val="20"/>
                <w:szCs w:val="20"/>
                <w:lang w:eastAsia="en-GB"/>
              </w:rPr>
              <w:t>Not Stated</w:t>
            </w:r>
          </w:p>
        </w:tc>
        <w:tc>
          <w:tcPr>
            <w:tcW w:w="3138" w:type="dxa"/>
            <w:tcBorders>
              <w:top w:val="nil"/>
              <w:left w:val="nil"/>
              <w:bottom w:val="single" w:sz="4" w:space="0" w:color="auto"/>
              <w:right w:val="single" w:sz="4" w:space="0" w:color="auto"/>
            </w:tcBorders>
            <w:shd w:val="clear" w:color="auto" w:fill="auto"/>
            <w:noWrap/>
            <w:vAlign w:val="center"/>
            <w:hideMark/>
          </w:tcPr>
          <w:p w:rsidR="00B10224" w:rsidRPr="00E36DBE" w:rsidRDefault="00B10224"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 xml:space="preserve"> </w:t>
            </w:r>
            <w:r w:rsidR="006A7C8C" w:rsidRPr="00E36DBE">
              <w:rPr>
                <w:rFonts w:ascii="Arial" w:eastAsia="Times New Roman" w:hAnsi="Arial" w:cs="Arial"/>
                <w:sz w:val="20"/>
                <w:szCs w:val="20"/>
                <w:lang w:eastAsia="en-GB"/>
              </w:rPr>
              <w:t>26</w:t>
            </w:r>
          </w:p>
        </w:tc>
        <w:tc>
          <w:tcPr>
            <w:tcW w:w="1250" w:type="dxa"/>
            <w:tcBorders>
              <w:top w:val="nil"/>
              <w:left w:val="nil"/>
              <w:bottom w:val="single" w:sz="4" w:space="0" w:color="auto"/>
              <w:right w:val="single" w:sz="4" w:space="0" w:color="auto"/>
            </w:tcBorders>
            <w:shd w:val="clear" w:color="000000" w:fill="FFFFFF"/>
            <w:noWrap/>
            <w:vAlign w:val="center"/>
            <w:hideMark/>
          </w:tcPr>
          <w:p w:rsidR="00B10224" w:rsidRPr="00E36DBE" w:rsidRDefault="006A7C8C"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106</w:t>
            </w:r>
          </w:p>
        </w:tc>
        <w:tc>
          <w:tcPr>
            <w:tcW w:w="2822" w:type="dxa"/>
            <w:tcBorders>
              <w:top w:val="nil"/>
              <w:left w:val="nil"/>
              <w:bottom w:val="single" w:sz="4" w:space="0" w:color="auto"/>
              <w:right w:val="single" w:sz="4" w:space="0" w:color="auto"/>
            </w:tcBorders>
            <w:shd w:val="clear" w:color="auto" w:fill="auto"/>
            <w:noWrap/>
            <w:vAlign w:val="center"/>
            <w:hideMark/>
          </w:tcPr>
          <w:p w:rsidR="00B10224" w:rsidRPr="00E36DBE" w:rsidRDefault="006A7C8C" w:rsidP="00B10224">
            <w:pPr>
              <w:spacing w:after="0" w:line="240" w:lineRule="auto"/>
              <w:jc w:val="center"/>
              <w:rPr>
                <w:rFonts w:ascii="Arial" w:eastAsia="Times New Roman" w:hAnsi="Arial" w:cs="Arial"/>
                <w:sz w:val="20"/>
                <w:szCs w:val="20"/>
                <w:lang w:eastAsia="en-GB"/>
              </w:rPr>
            </w:pPr>
            <w:r w:rsidRPr="00E36DBE">
              <w:rPr>
                <w:rFonts w:ascii="Arial" w:eastAsia="Times New Roman" w:hAnsi="Arial" w:cs="Arial"/>
                <w:sz w:val="20"/>
                <w:szCs w:val="20"/>
                <w:lang w:eastAsia="en-GB"/>
              </w:rPr>
              <w:t>24.52%</w:t>
            </w:r>
          </w:p>
        </w:tc>
      </w:tr>
      <w:tr w:rsidR="00B10224" w:rsidRPr="00B10224" w:rsidTr="00520875">
        <w:trPr>
          <w:trHeight w:val="360"/>
        </w:trPr>
        <w:tc>
          <w:tcPr>
            <w:tcW w:w="6387"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color w:val="FFFFFF"/>
                <w:sz w:val="20"/>
                <w:szCs w:val="20"/>
                <w:lang w:eastAsia="en-GB"/>
              </w:rPr>
            </w:pPr>
            <w:r w:rsidRPr="00B10224">
              <w:rPr>
                <w:rFonts w:ascii="Arial" w:eastAsia="Times New Roman" w:hAnsi="Arial" w:cs="Arial"/>
                <w:color w:val="FFFFFF"/>
                <w:sz w:val="20"/>
                <w:szCs w:val="20"/>
                <w:lang w:eastAsia="en-GB"/>
              </w:rPr>
              <w:t>Relative Likelihood of White staff accessing non-</w:t>
            </w:r>
            <w:proofErr w:type="spellStart"/>
            <w:r w:rsidRPr="00B10224">
              <w:rPr>
                <w:rFonts w:ascii="Arial" w:eastAsia="Times New Roman" w:hAnsi="Arial" w:cs="Arial"/>
                <w:color w:val="FFFFFF"/>
                <w:sz w:val="20"/>
                <w:szCs w:val="20"/>
                <w:lang w:eastAsia="en-GB"/>
              </w:rPr>
              <w:t>mand</w:t>
            </w:r>
            <w:proofErr w:type="spellEnd"/>
            <w:r w:rsidRPr="00B10224">
              <w:rPr>
                <w:rFonts w:ascii="Arial" w:eastAsia="Times New Roman" w:hAnsi="Arial" w:cs="Arial"/>
                <w:color w:val="FFFFFF"/>
                <w:sz w:val="20"/>
                <w:szCs w:val="20"/>
                <w:lang w:eastAsia="en-GB"/>
              </w:rPr>
              <w:t xml:space="preserve"> / CPD training.  </w:t>
            </w:r>
          </w:p>
        </w:tc>
        <w:tc>
          <w:tcPr>
            <w:tcW w:w="2822" w:type="dxa"/>
            <w:vMerge w:val="restart"/>
            <w:tcBorders>
              <w:top w:val="nil"/>
              <w:left w:val="single" w:sz="4" w:space="0" w:color="auto"/>
              <w:bottom w:val="single" w:sz="4" w:space="0" w:color="000000"/>
              <w:right w:val="single" w:sz="4" w:space="0" w:color="auto"/>
            </w:tcBorders>
            <w:shd w:val="clear" w:color="auto" w:fill="5B9BD5" w:themeFill="accent1"/>
            <w:noWrap/>
            <w:vAlign w:val="center"/>
            <w:hideMark/>
          </w:tcPr>
          <w:p w:rsidR="00B10224" w:rsidRPr="00B10224" w:rsidRDefault="006A7C8C" w:rsidP="00B10224">
            <w:pPr>
              <w:spacing w:after="0" w:line="240" w:lineRule="auto"/>
              <w:jc w:val="cente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0.85</w:t>
            </w:r>
          </w:p>
        </w:tc>
      </w:tr>
      <w:tr w:rsidR="00B10224" w:rsidRPr="00B10224" w:rsidTr="00520875">
        <w:trPr>
          <w:trHeight w:val="360"/>
        </w:trPr>
        <w:tc>
          <w:tcPr>
            <w:tcW w:w="6387"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color w:val="FFFFFF"/>
                <w:sz w:val="20"/>
                <w:szCs w:val="20"/>
                <w:lang w:eastAsia="en-GB"/>
              </w:rPr>
            </w:pPr>
          </w:p>
        </w:tc>
        <w:tc>
          <w:tcPr>
            <w:tcW w:w="2822" w:type="dxa"/>
            <w:vMerge/>
            <w:tcBorders>
              <w:top w:val="nil"/>
              <w:left w:val="single" w:sz="4" w:space="0" w:color="auto"/>
              <w:bottom w:val="single" w:sz="4" w:space="0" w:color="000000"/>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p>
        </w:tc>
      </w:tr>
    </w:tbl>
    <w:p w:rsidR="003B728C" w:rsidRDefault="003B728C" w:rsidP="003B728C">
      <w:pPr>
        <w:jc w:val="both"/>
        <w:rPr>
          <w:b/>
        </w:rPr>
      </w:pPr>
    </w:p>
    <w:p w:rsidR="00B10224" w:rsidRPr="000E1B7C" w:rsidRDefault="00B10224" w:rsidP="000E1B7C">
      <w:pPr>
        <w:spacing w:after="0"/>
        <w:jc w:val="both"/>
        <w:rPr>
          <w:b/>
          <w:color w:val="595959" w:themeColor="text1" w:themeTint="A6"/>
        </w:rPr>
      </w:pPr>
      <w:r w:rsidRPr="000E1B7C">
        <w:rPr>
          <w:b/>
          <w:color w:val="595959" w:themeColor="text1" w:themeTint="A6"/>
        </w:rPr>
        <w:t>Previous Year 2017-18</w:t>
      </w:r>
    </w:p>
    <w:tbl>
      <w:tblPr>
        <w:tblW w:w="9209" w:type="dxa"/>
        <w:tblLook w:val="04A0" w:firstRow="1" w:lastRow="0" w:firstColumn="1" w:lastColumn="0" w:noHBand="0" w:noVBand="1"/>
      </w:tblPr>
      <w:tblGrid>
        <w:gridCol w:w="1999"/>
        <w:gridCol w:w="3138"/>
        <w:gridCol w:w="1250"/>
        <w:gridCol w:w="2822"/>
      </w:tblGrid>
      <w:tr w:rsidR="00B10224" w:rsidRPr="00B10224" w:rsidTr="00520875">
        <w:trPr>
          <w:trHeight w:val="765"/>
        </w:trPr>
        <w:tc>
          <w:tcPr>
            <w:tcW w:w="1999"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 </w:t>
            </w:r>
          </w:p>
        </w:tc>
        <w:tc>
          <w:tcPr>
            <w:tcW w:w="3138"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Accessing non-</w:t>
            </w:r>
            <w:proofErr w:type="spellStart"/>
            <w:r w:rsidRPr="00B10224">
              <w:rPr>
                <w:rFonts w:ascii="Arial" w:eastAsia="Times New Roman" w:hAnsi="Arial" w:cs="Arial"/>
                <w:b/>
                <w:bCs/>
                <w:color w:val="FFFFFF"/>
                <w:sz w:val="20"/>
                <w:szCs w:val="20"/>
                <w:lang w:eastAsia="en-GB"/>
              </w:rPr>
              <w:t>mand</w:t>
            </w:r>
            <w:proofErr w:type="spellEnd"/>
            <w:r w:rsidRPr="00B10224">
              <w:rPr>
                <w:rFonts w:ascii="Arial" w:eastAsia="Times New Roman" w:hAnsi="Arial" w:cs="Arial"/>
                <w:b/>
                <w:bCs/>
                <w:color w:val="FFFFFF"/>
                <w:sz w:val="20"/>
                <w:szCs w:val="20"/>
                <w:lang w:eastAsia="en-GB"/>
              </w:rPr>
              <w:t xml:space="preserve"> / CPD training</w:t>
            </w:r>
          </w:p>
        </w:tc>
        <w:tc>
          <w:tcPr>
            <w:tcW w:w="1250"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Headcount</w:t>
            </w:r>
          </w:p>
        </w:tc>
        <w:tc>
          <w:tcPr>
            <w:tcW w:w="2822" w:type="dxa"/>
            <w:tcBorders>
              <w:top w:val="single" w:sz="4" w:space="0" w:color="auto"/>
              <w:left w:val="nil"/>
              <w:bottom w:val="single" w:sz="4" w:space="0" w:color="auto"/>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Relative Likelihood of staff accessing non-</w:t>
            </w:r>
            <w:proofErr w:type="spellStart"/>
            <w:r w:rsidRPr="00B10224">
              <w:rPr>
                <w:rFonts w:ascii="Arial" w:eastAsia="Times New Roman" w:hAnsi="Arial" w:cs="Arial"/>
                <w:b/>
                <w:bCs/>
                <w:color w:val="FFFFFF"/>
                <w:sz w:val="20"/>
                <w:szCs w:val="20"/>
                <w:lang w:eastAsia="en-GB"/>
              </w:rPr>
              <w:t>mand</w:t>
            </w:r>
            <w:proofErr w:type="spellEnd"/>
            <w:r w:rsidRPr="00B10224">
              <w:rPr>
                <w:rFonts w:ascii="Arial" w:eastAsia="Times New Roman" w:hAnsi="Arial" w:cs="Arial"/>
                <w:b/>
                <w:bCs/>
                <w:color w:val="FFFFFF"/>
                <w:sz w:val="20"/>
                <w:szCs w:val="20"/>
                <w:lang w:eastAsia="en-GB"/>
              </w:rPr>
              <w:t xml:space="preserve"> / CPD training</w:t>
            </w:r>
          </w:p>
        </w:tc>
      </w:tr>
      <w:tr w:rsidR="00B10224" w:rsidRPr="00B10224" w:rsidTr="00B10224">
        <w:trPr>
          <w:trHeight w:val="340"/>
        </w:trPr>
        <w:tc>
          <w:tcPr>
            <w:tcW w:w="1999"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White</w:t>
            </w:r>
          </w:p>
        </w:tc>
        <w:tc>
          <w:tcPr>
            <w:tcW w:w="3138" w:type="dxa"/>
            <w:tcBorders>
              <w:top w:val="nil"/>
              <w:left w:val="nil"/>
              <w:bottom w:val="nil"/>
              <w:right w:val="nil"/>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2146</w:t>
            </w:r>
          </w:p>
        </w:tc>
        <w:tc>
          <w:tcPr>
            <w:tcW w:w="1250"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B10224" w:rsidP="006A7C8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32</w:t>
            </w:r>
            <w:r w:rsidR="006A7C8C">
              <w:rPr>
                <w:rFonts w:ascii="Arial" w:eastAsia="Times New Roman" w:hAnsi="Arial" w:cs="Arial"/>
                <w:sz w:val="20"/>
                <w:szCs w:val="20"/>
                <w:lang w:eastAsia="en-GB"/>
              </w:rPr>
              <w:t>58</w:t>
            </w:r>
          </w:p>
        </w:tc>
        <w:tc>
          <w:tcPr>
            <w:tcW w:w="2822"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6A7C8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65</w:t>
            </w:r>
            <w:r w:rsidR="006A7C8C">
              <w:rPr>
                <w:rFonts w:ascii="Arial" w:eastAsia="Times New Roman" w:hAnsi="Arial" w:cs="Arial"/>
                <w:sz w:val="20"/>
                <w:szCs w:val="20"/>
                <w:lang w:eastAsia="en-GB"/>
              </w:rPr>
              <w:t>.86</w:t>
            </w:r>
            <w:r w:rsidRPr="00B10224">
              <w:rPr>
                <w:rFonts w:ascii="Arial" w:eastAsia="Times New Roman" w:hAnsi="Arial" w:cs="Arial"/>
                <w:sz w:val="20"/>
                <w:szCs w:val="20"/>
                <w:lang w:eastAsia="en-GB"/>
              </w:rPr>
              <w:t>%</w:t>
            </w:r>
          </w:p>
        </w:tc>
      </w:tr>
      <w:tr w:rsidR="00B10224" w:rsidRPr="00B10224" w:rsidTr="00B10224">
        <w:trPr>
          <w:trHeight w:val="340"/>
        </w:trPr>
        <w:tc>
          <w:tcPr>
            <w:tcW w:w="1999"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EC4447" w:rsidP="00B1022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117</w:t>
            </w:r>
          </w:p>
        </w:tc>
        <w:tc>
          <w:tcPr>
            <w:tcW w:w="1250" w:type="dxa"/>
            <w:tcBorders>
              <w:top w:val="nil"/>
              <w:left w:val="nil"/>
              <w:bottom w:val="single" w:sz="4" w:space="0" w:color="auto"/>
              <w:right w:val="single" w:sz="4" w:space="0" w:color="auto"/>
            </w:tcBorders>
            <w:shd w:val="clear" w:color="auto" w:fill="auto"/>
            <w:noWrap/>
            <w:vAlign w:val="center"/>
            <w:hideMark/>
          </w:tcPr>
          <w:p w:rsidR="00B10224" w:rsidRPr="00B10224" w:rsidRDefault="006C5452"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w:t>
            </w:r>
            <w:r w:rsidR="006A7C8C">
              <w:rPr>
                <w:rFonts w:ascii="Arial" w:eastAsia="Times New Roman" w:hAnsi="Arial" w:cs="Arial"/>
                <w:sz w:val="20"/>
                <w:szCs w:val="20"/>
                <w:lang w:eastAsia="en-GB"/>
              </w:rPr>
              <w:t>4</w:t>
            </w:r>
            <w:r>
              <w:rPr>
                <w:rFonts w:ascii="Arial" w:eastAsia="Times New Roman" w:hAnsi="Arial" w:cs="Arial"/>
                <w:sz w:val="20"/>
                <w:szCs w:val="20"/>
                <w:lang w:eastAsia="en-GB"/>
              </w:rPr>
              <w:t>0</w:t>
            </w:r>
          </w:p>
        </w:tc>
        <w:tc>
          <w:tcPr>
            <w:tcW w:w="2822" w:type="dxa"/>
            <w:tcBorders>
              <w:top w:val="nil"/>
              <w:left w:val="nil"/>
              <w:bottom w:val="single" w:sz="4" w:space="0" w:color="auto"/>
              <w:right w:val="single" w:sz="4" w:space="0" w:color="auto"/>
            </w:tcBorders>
            <w:shd w:val="clear" w:color="auto" w:fill="auto"/>
            <w:noWrap/>
            <w:vAlign w:val="center"/>
            <w:hideMark/>
          </w:tcPr>
          <w:p w:rsidR="00B10224" w:rsidRPr="00B10224" w:rsidRDefault="006C5452" w:rsidP="006C545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83.57</w:t>
            </w:r>
            <w:r w:rsidR="00B10224" w:rsidRPr="00B10224">
              <w:rPr>
                <w:rFonts w:ascii="Arial" w:eastAsia="Times New Roman" w:hAnsi="Arial" w:cs="Arial"/>
                <w:sz w:val="20"/>
                <w:szCs w:val="20"/>
                <w:lang w:eastAsia="en-GB"/>
              </w:rPr>
              <w:t>%</w:t>
            </w:r>
          </w:p>
        </w:tc>
      </w:tr>
      <w:tr w:rsidR="00B10224" w:rsidRPr="00B10224" w:rsidTr="00B10224">
        <w:trPr>
          <w:trHeight w:val="340"/>
        </w:trPr>
        <w:tc>
          <w:tcPr>
            <w:tcW w:w="1999"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Not Stated</w:t>
            </w:r>
          </w:p>
        </w:tc>
        <w:tc>
          <w:tcPr>
            <w:tcW w:w="3138"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1250" w:type="dxa"/>
            <w:tcBorders>
              <w:top w:val="nil"/>
              <w:left w:val="nil"/>
              <w:bottom w:val="single" w:sz="4" w:space="0" w:color="auto"/>
              <w:right w:val="single" w:sz="4" w:space="0" w:color="auto"/>
            </w:tcBorders>
            <w:shd w:val="clear" w:color="000000" w:fill="FFFFFF"/>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77</w:t>
            </w:r>
          </w:p>
        </w:tc>
        <w:tc>
          <w:tcPr>
            <w:tcW w:w="2822"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6A7C8C">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 </w:t>
            </w:r>
            <w:r w:rsidR="006A7C8C">
              <w:rPr>
                <w:rFonts w:ascii="Arial" w:eastAsia="Times New Roman" w:hAnsi="Arial" w:cs="Arial"/>
                <w:sz w:val="20"/>
                <w:szCs w:val="20"/>
                <w:lang w:eastAsia="en-GB"/>
              </w:rPr>
              <w:t>54.54%</w:t>
            </w:r>
          </w:p>
        </w:tc>
      </w:tr>
      <w:tr w:rsidR="00B10224" w:rsidRPr="00B10224" w:rsidTr="00520875">
        <w:trPr>
          <w:trHeight w:val="360"/>
        </w:trPr>
        <w:tc>
          <w:tcPr>
            <w:tcW w:w="6387"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color w:val="FFFFFF"/>
                <w:sz w:val="20"/>
                <w:szCs w:val="20"/>
                <w:lang w:eastAsia="en-GB"/>
              </w:rPr>
            </w:pPr>
            <w:r w:rsidRPr="00B10224">
              <w:rPr>
                <w:rFonts w:ascii="Arial" w:eastAsia="Times New Roman" w:hAnsi="Arial" w:cs="Arial"/>
                <w:color w:val="FFFFFF"/>
                <w:sz w:val="20"/>
                <w:szCs w:val="20"/>
                <w:lang w:eastAsia="en-GB"/>
              </w:rPr>
              <w:t>Relative Likelihood of White staff accessing non-</w:t>
            </w:r>
            <w:proofErr w:type="spellStart"/>
            <w:r w:rsidRPr="00B10224">
              <w:rPr>
                <w:rFonts w:ascii="Arial" w:eastAsia="Times New Roman" w:hAnsi="Arial" w:cs="Arial"/>
                <w:color w:val="FFFFFF"/>
                <w:sz w:val="20"/>
                <w:szCs w:val="20"/>
                <w:lang w:eastAsia="en-GB"/>
              </w:rPr>
              <w:t>mand</w:t>
            </w:r>
            <w:proofErr w:type="spellEnd"/>
            <w:r w:rsidRPr="00B10224">
              <w:rPr>
                <w:rFonts w:ascii="Arial" w:eastAsia="Times New Roman" w:hAnsi="Arial" w:cs="Arial"/>
                <w:color w:val="FFFFFF"/>
                <w:sz w:val="20"/>
                <w:szCs w:val="20"/>
                <w:lang w:eastAsia="en-GB"/>
              </w:rPr>
              <w:t xml:space="preserve"> / CPD training.  </w:t>
            </w:r>
          </w:p>
        </w:tc>
        <w:tc>
          <w:tcPr>
            <w:tcW w:w="2822" w:type="dxa"/>
            <w:vMerge w:val="restart"/>
            <w:tcBorders>
              <w:top w:val="nil"/>
              <w:left w:val="single" w:sz="4" w:space="0" w:color="auto"/>
              <w:bottom w:val="single" w:sz="4" w:space="0" w:color="000000"/>
              <w:right w:val="single" w:sz="4" w:space="0" w:color="auto"/>
            </w:tcBorders>
            <w:shd w:val="clear" w:color="auto" w:fill="5B9BD5" w:themeFill="accent1"/>
            <w:noWrap/>
            <w:vAlign w:val="center"/>
            <w:hideMark/>
          </w:tcPr>
          <w:p w:rsidR="00B10224" w:rsidRPr="00B10224" w:rsidRDefault="006C5452" w:rsidP="006C5452">
            <w:pPr>
              <w:spacing w:after="0" w:line="240" w:lineRule="auto"/>
              <w:jc w:val="cente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0.79</w:t>
            </w:r>
          </w:p>
        </w:tc>
      </w:tr>
      <w:tr w:rsidR="00B10224" w:rsidRPr="00B10224" w:rsidTr="00520875">
        <w:trPr>
          <w:trHeight w:val="360"/>
        </w:trPr>
        <w:tc>
          <w:tcPr>
            <w:tcW w:w="6387"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color w:val="FFFFFF"/>
                <w:sz w:val="20"/>
                <w:szCs w:val="20"/>
                <w:lang w:eastAsia="en-GB"/>
              </w:rPr>
            </w:pPr>
          </w:p>
        </w:tc>
        <w:tc>
          <w:tcPr>
            <w:tcW w:w="2822" w:type="dxa"/>
            <w:vMerge/>
            <w:tcBorders>
              <w:top w:val="nil"/>
              <w:left w:val="single" w:sz="4" w:space="0" w:color="auto"/>
              <w:bottom w:val="single" w:sz="4" w:space="0" w:color="000000"/>
              <w:right w:val="single" w:sz="4" w:space="0" w:color="auto"/>
            </w:tcBorders>
            <w:shd w:val="clear" w:color="auto" w:fill="5B9BD5" w:themeFill="accent1"/>
            <w:vAlign w:val="center"/>
            <w:hideMark/>
          </w:tcPr>
          <w:p w:rsidR="00B10224" w:rsidRPr="00B10224" w:rsidRDefault="00B10224" w:rsidP="00B10224">
            <w:pPr>
              <w:spacing w:after="0" w:line="240" w:lineRule="auto"/>
              <w:rPr>
                <w:rFonts w:ascii="Arial" w:eastAsia="Times New Roman" w:hAnsi="Arial" w:cs="Arial"/>
                <w:b/>
                <w:bCs/>
                <w:color w:val="FFFFFF"/>
                <w:sz w:val="20"/>
                <w:szCs w:val="20"/>
                <w:lang w:eastAsia="en-GB"/>
              </w:rPr>
            </w:pPr>
          </w:p>
        </w:tc>
      </w:tr>
    </w:tbl>
    <w:p w:rsidR="003B728C" w:rsidRDefault="003B728C" w:rsidP="003B728C">
      <w:pPr>
        <w:jc w:val="both"/>
      </w:pPr>
    </w:p>
    <w:p w:rsidR="006A7C8C" w:rsidRPr="00E36DBE" w:rsidRDefault="003B728C" w:rsidP="003B728C">
      <w:pPr>
        <w:jc w:val="both"/>
      </w:pPr>
      <w:r w:rsidRPr="00E36DBE">
        <w:t xml:space="preserve">The relative likelihood for the current year 2018-19 indicates that BME staff are </w:t>
      </w:r>
      <w:r w:rsidRPr="00E36DBE">
        <w:rPr>
          <w:b/>
          <w:u w:val="single"/>
        </w:rPr>
        <w:t>MORE</w:t>
      </w:r>
      <w:r w:rsidRPr="00E36DBE">
        <w:rPr>
          <w:b/>
        </w:rPr>
        <w:t xml:space="preserve"> </w:t>
      </w:r>
      <w:r w:rsidRPr="00E36DBE">
        <w:t xml:space="preserve">likely to access non-mandatory training when compared to white staff. This is </w:t>
      </w:r>
      <w:r w:rsidR="006A7C8C" w:rsidRPr="00E36DBE">
        <w:t>in keeping</w:t>
      </w:r>
      <w:r w:rsidRPr="00E36DBE">
        <w:t xml:space="preserve"> to the previous year 2017-18 where BME staff were</w:t>
      </w:r>
      <w:r w:rsidR="006A7C8C" w:rsidRPr="00E36DBE">
        <w:t xml:space="preserve"> also</w:t>
      </w:r>
      <w:r w:rsidRPr="00E36DBE">
        <w:t xml:space="preserve"> </w:t>
      </w:r>
      <w:r w:rsidRPr="00E36DBE">
        <w:rPr>
          <w:b/>
          <w:u w:val="single"/>
        </w:rPr>
        <w:t>MORE</w:t>
      </w:r>
      <w:r w:rsidRPr="00E36DBE">
        <w:t xml:space="preserve"> likely to access non-mandatory training when compared to white staff</w:t>
      </w:r>
      <w:r w:rsidR="006A7C8C" w:rsidRPr="00E36DBE">
        <w:t>.</w:t>
      </w:r>
    </w:p>
    <w:p w:rsidR="00F306E8" w:rsidRDefault="00F306E8" w:rsidP="003B728C">
      <w:pPr>
        <w:jc w:val="both"/>
        <w:rPr>
          <w:b/>
        </w:rPr>
      </w:pPr>
      <w:r>
        <w:rPr>
          <w:b/>
        </w:rPr>
        <w:br w:type="page"/>
      </w:r>
    </w:p>
    <w:p w:rsidR="000E1B7C" w:rsidRDefault="000E1B7C" w:rsidP="000E1B7C">
      <w:pPr>
        <w:pStyle w:val="Heading3"/>
      </w:pPr>
      <w:r w:rsidRPr="00DF465E">
        <w:lastRenderedPageBreak/>
        <w:t>Nation</w:t>
      </w:r>
      <w:r>
        <w:t>al NHS Staff Survey indicators</w:t>
      </w:r>
    </w:p>
    <w:p w:rsidR="000E1B7C" w:rsidRPr="000E1B7C" w:rsidRDefault="000E1B7C" w:rsidP="000E1B7C"/>
    <w:p w:rsidR="002B4D72" w:rsidRDefault="00F306E8" w:rsidP="002B39AF">
      <w:pPr>
        <w:pStyle w:val="Heading3"/>
      </w:pPr>
      <w:r w:rsidRPr="007C606E">
        <w:t xml:space="preserve">Indicator </w:t>
      </w:r>
      <w:r>
        <w:t xml:space="preserve">5 - </w:t>
      </w:r>
      <w:r w:rsidRPr="00F306E8">
        <w:t>KF 25. Percentage of staff experiencing harassment, bullying or abuse from patients, relatives or the public in last 12 months</w:t>
      </w:r>
    </w:p>
    <w:tbl>
      <w:tblPr>
        <w:tblW w:w="8500" w:type="dxa"/>
        <w:tblInd w:w="5" w:type="dxa"/>
        <w:tblLook w:val="04A0" w:firstRow="1" w:lastRow="0" w:firstColumn="1" w:lastColumn="0" w:noHBand="0" w:noVBand="1"/>
      </w:tblPr>
      <w:tblGrid>
        <w:gridCol w:w="1413"/>
        <w:gridCol w:w="2457"/>
        <w:gridCol w:w="2315"/>
        <w:gridCol w:w="2315"/>
      </w:tblGrid>
      <w:tr w:rsidR="00EC4447" w:rsidRPr="00B10224" w:rsidTr="000E1B7C">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EC4447" w:rsidRPr="00B10224" w:rsidRDefault="00EC4447" w:rsidP="002B4D72">
            <w:pPr>
              <w:spacing w:after="0" w:line="240" w:lineRule="auto"/>
              <w:rPr>
                <w:rFonts w:ascii="Arial" w:eastAsia="Times New Roman" w:hAnsi="Arial" w:cs="Arial"/>
                <w:b/>
                <w:bCs/>
                <w:color w:val="FFFFFF"/>
                <w:sz w:val="20"/>
                <w:szCs w:val="20"/>
                <w:lang w:eastAsia="en-GB"/>
              </w:rPr>
            </w:pPr>
          </w:p>
        </w:tc>
        <w:tc>
          <w:tcPr>
            <w:tcW w:w="2457" w:type="dxa"/>
            <w:tcBorders>
              <w:top w:val="single" w:sz="4" w:space="0" w:color="auto"/>
              <w:left w:val="nil"/>
              <w:bottom w:val="single" w:sz="4" w:space="0" w:color="auto"/>
              <w:right w:val="single" w:sz="4" w:space="0" w:color="auto"/>
            </w:tcBorders>
            <w:shd w:val="clear" w:color="auto" w:fill="5B9BD5" w:themeFill="accent1"/>
            <w:vAlign w:val="center"/>
          </w:tcPr>
          <w:p w:rsidR="00EC4447" w:rsidRPr="002B4D72" w:rsidRDefault="00EC4447" w:rsidP="00EC4447">
            <w:pPr>
              <w:spacing w:after="0" w:line="240" w:lineRule="auto"/>
              <w:jc w:val="center"/>
              <w:rPr>
                <w:b/>
                <w:color w:val="FFFFFF" w:themeColor="background1"/>
              </w:rPr>
            </w:pPr>
            <w:r>
              <w:rPr>
                <w:b/>
                <w:color w:val="FFFFFF" w:themeColor="background1"/>
              </w:rPr>
              <w:t>2018 Survey</w:t>
            </w:r>
          </w:p>
        </w:tc>
        <w:tc>
          <w:tcPr>
            <w:tcW w:w="2315" w:type="dxa"/>
            <w:tcBorders>
              <w:top w:val="single" w:sz="4" w:space="0" w:color="auto"/>
              <w:left w:val="nil"/>
              <w:bottom w:val="single" w:sz="4" w:space="0" w:color="auto"/>
              <w:right w:val="single" w:sz="4" w:space="0" w:color="auto"/>
            </w:tcBorders>
            <w:shd w:val="clear" w:color="auto" w:fill="5B9BD5" w:themeFill="accent1"/>
            <w:vAlign w:val="center"/>
          </w:tcPr>
          <w:p w:rsidR="00EC4447" w:rsidRPr="002B4D72" w:rsidRDefault="00EC4447" w:rsidP="00EC4447">
            <w:pPr>
              <w:spacing w:after="0" w:line="240" w:lineRule="auto"/>
              <w:jc w:val="center"/>
              <w:rPr>
                <w:b/>
                <w:color w:val="FFFFFF" w:themeColor="background1"/>
              </w:rPr>
            </w:pPr>
            <w:r>
              <w:rPr>
                <w:b/>
                <w:color w:val="FFFFFF" w:themeColor="background1"/>
              </w:rPr>
              <w:t>2017 Survey</w:t>
            </w:r>
          </w:p>
        </w:tc>
        <w:tc>
          <w:tcPr>
            <w:tcW w:w="2315" w:type="dxa"/>
            <w:tcBorders>
              <w:top w:val="single" w:sz="4" w:space="0" w:color="auto"/>
              <w:left w:val="nil"/>
              <w:bottom w:val="single" w:sz="4" w:space="0" w:color="auto"/>
              <w:right w:val="single" w:sz="4" w:space="0" w:color="auto"/>
            </w:tcBorders>
            <w:shd w:val="clear" w:color="auto" w:fill="5B9BD5" w:themeFill="accent1"/>
            <w:vAlign w:val="center"/>
          </w:tcPr>
          <w:p w:rsidR="00EC4447" w:rsidRPr="002B4D72" w:rsidRDefault="00EC4447" w:rsidP="00EC4447">
            <w:pPr>
              <w:spacing w:after="0" w:line="240" w:lineRule="auto"/>
              <w:jc w:val="center"/>
              <w:rPr>
                <w:b/>
                <w:color w:val="FFFFFF" w:themeColor="background1"/>
              </w:rPr>
            </w:pPr>
            <w:r>
              <w:rPr>
                <w:b/>
                <w:color w:val="FFFFFF" w:themeColor="background1"/>
              </w:rPr>
              <w:t>2016 Survey</w:t>
            </w:r>
          </w:p>
        </w:tc>
      </w:tr>
      <w:tr w:rsidR="00EC4447" w:rsidRPr="00B10224" w:rsidTr="000E1B7C">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447" w:rsidRPr="00B10224" w:rsidRDefault="00EC4447" w:rsidP="002B4D72">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White</w:t>
            </w:r>
          </w:p>
        </w:tc>
        <w:tc>
          <w:tcPr>
            <w:tcW w:w="2457" w:type="dxa"/>
            <w:tcBorders>
              <w:top w:val="single" w:sz="4" w:space="0" w:color="auto"/>
              <w:left w:val="nil"/>
              <w:bottom w:val="single" w:sz="4" w:space="0" w:color="auto"/>
              <w:right w:val="single" w:sz="4" w:space="0" w:color="auto"/>
            </w:tcBorders>
            <w:shd w:val="clear" w:color="auto" w:fill="auto"/>
            <w:noWrap/>
            <w:vAlign w:val="center"/>
            <w:hideMark/>
          </w:tcPr>
          <w:p w:rsidR="00EC4447" w:rsidRPr="00B10224" w:rsidRDefault="00EC4447" w:rsidP="002B4D72">
            <w:pPr>
              <w:spacing w:after="0" w:line="240" w:lineRule="auto"/>
              <w:jc w:val="center"/>
              <w:rPr>
                <w:rFonts w:ascii="Arial" w:eastAsia="Times New Roman" w:hAnsi="Arial" w:cs="Arial"/>
                <w:sz w:val="20"/>
                <w:szCs w:val="20"/>
                <w:lang w:eastAsia="en-GB"/>
              </w:rPr>
            </w:pPr>
            <w:r w:rsidRPr="002B4D72">
              <w:rPr>
                <w:rFonts w:ascii="Arial" w:eastAsia="Times New Roman" w:hAnsi="Arial" w:cs="Arial"/>
                <w:sz w:val="20"/>
                <w:szCs w:val="20"/>
                <w:lang w:eastAsia="en-GB"/>
              </w:rPr>
              <w:t xml:space="preserve"> </w:t>
            </w:r>
            <w:r>
              <w:rPr>
                <w:rFonts w:ascii="Arial" w:eastAsia="Times New Roman" w:hAnsi="Arial" w:cs="Arial"/>
                <w:sz w:val="20"/>
                <w:szCs w:val="20"/>
                <w:lang w:eastAsia="en-GB"/>
              </w:rPr>
              <w:t>24%</w:t>
            </w:r>
          </w:p>
        </w:tc>
        <w:tc>
          <w:tcPr>
            <w:tcW w:w="2315"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EC4447"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w:t>
            </w:r>
          </w:p>
        </w:tc>
        <w:tc>
          <w:tcPr>
            <w:tcW w:w="2315"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886D2E"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27%</w:t>
            </w:r>
          </w:p>
        </w:tc>
      </w:tr>
      <w:tr w:rsidR="00EC4447" w:rsidRPr="00B10224" w:rsidTr="000E1B7C">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447" w:rsidRPr="00B10224" w:rsidRDefault="00EC4447" w:rsidP="002B4D7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2457" w:type="dxa"/>
            <w:tcBorders>
              <w:top w:val="single" w:sz="4" w:space="0" w:color="auto"/>
              <w:left w:val="nil"/>
              <w:bottom w:val="single" w:sz="4" w:space="0" w:color="auto"/>
              <w:right w:val="single" w:sz="4" w:space="0" w:color="auto"/>
            </w:tcBorders>
            <w:shd w:val="clear" w:color="auto" w:fill="auto"/>
            <w:noWrap/>
            <w:vAlign w:val="center"/>
            <w:hideMark/>
          </w:tcPr>
          <w:p w:rsidR="00EC4447" w:rsidRPr="00B10224" w:rsidRDefault="00EC4447"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31%</w:t>
            </w:r>
          </w:p>
        </w:tc>
        <w:tc>
          <w:tcPr>
            <w:tcW w:w="2315"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EC4447"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2315"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886D2E"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40%</w:t>
            </w:r>
          </w:p>
        </w:tc>
      </w:tr>
    </w:tbl>
    <w:p w:rsidR="002B39AF" w:rsidRDefault="000E1B7C" w:rsidP="000E1B7C">
      <w:pPr>
        <w:jc w:val="both"/>
      </w:pPr>
      <w:r w:rsidRPr="000E1B7C">
        <w:t xml:space="preserve">The results from the latest staff survey indicates that a larger proportion of </w:t>
      </w:r>
      <w:r>
        <w:t>BME</w:t>
      </w:r>
      <w:r w:rsidRPr="000E1B7C">
        <w:t xml:space="preserve"> staff </w:t>
      </w:r>
      <w:r>
        <w:t>have experienced harassment, bullying or abuse from patients, relatives or the public when compared to white staff. This is also the case for the previous 2 years of staff survey results but the percentage is reducing</w:t>
      </w:r>
    </w:p>
    <w:p w:rsidR="000E1B7C" w:rsidRDefault="000E1B7C" w:rsidP="002B39AF">
      <w:pPr>
        <w:pStyle w:val="Heading3"/>
      </w:pPr>
    </w:p>
    <w:p w:rsidR="00F306E8" w:rsidRDefault="00F306E8" w:rsidP="002B39AF">
      <w:pPr>
        <w:pStyle w:val="Heading3"/>
      </w:pPr>
      <w:r w:rsidRPr="007C606E">
        <w:t xml:space="preserve">Indicator </w:t>
      </w:r>
      <w:r>
        <w:t xml:space="preserve">6 - </w:t>
      </w:r>
      <w:r w:rsidRPr="00F306E8">
        <w:t>KF 26. Percentage of staff experiencing harassment, bullying or abuse from staff in last 12 months</w:t>
      </w:r>
    </w:p>
    <w:tbl>
      <w:tblPr>
        <w:tblW w:w="8500" w:type="dxa"/>
        <w:tblLook w:val="04A0" w:firstRow="1" w:lastRow="0" w:firstColumn="1" w:lastColumn="0" w:noHBand="0" w:noVBand="1"/>
      </w:tblPr>
      <w:tblGrid>
        <w:gridCol w:w="1413"/>
        <w:gridCol w:w="2753"/>
        <w:gridCol w:w="2208"/>
        <w:gridCol w:w="2126"/>
      </w:tblGrid>
      <w:tr w:rsidR="00EC4447" w:rsidRPr="00EC4447"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EC4447" w:rsidRPr="00EC4447" w:rsidRDefault="00EC4447" w:rsidP="002B4D72">
            <w:pPr>
              <w:spacing w:after="0" w:line="240" w:lineRule="auto"/>
              <w:rPr>
                <w:rFonts w:ascii="Arial" w:eastAsia="Times New Roman" w:hAnsi="Arial" w:cs="Arial"/>
                <w:b/>
                <w:color w:val="FFFFFF" w:themeColor="background1"/>
                <w:sz w:val="20"/>
                <w:szCs w:val="20"/>
                <w:lang w:eastAsia="en-GB"/>
              </w:rPr>
            </w:pPr>
          </w:p>
        </w:tc>
        <w:tc>
          <w:tcPr>
            <w:tcW w:w="2753" w:type="dxa"/>
            <w:tcBorders>
              <w:top w:val="single" w:sz="4" w:space="0" w:color="auto"/>
              <w:left w:val="nil"/>
              <w:bottom w:val="single" w:sz="4" w:space="0" w:color="auto"/>
              <w:right w:val="single" w:sz="4" w:space="0" w:color="auto"/>
            </w:tcBorders>
            <w:shd w:val="clear" w:color="auto" w:fill="5B9BD5" w:themeFill="accent1"/>
            <w:noWrap/>
            <w:vAlign w:val="center"/>
          </w:tcPr>
          <w:p w:rsidR="00EC4447" w:rsidRPr="00EC4447" w:rsidRDefault="00EC4447" w:rsidP="002B4D72">
            <w:pPr>
              <w:spacing w:after="0" w:line="240" w:lineRule="auto"/>
              <w:jc w:val="center"/>
              <w:rPr>
                <w:rFonts w:ascii="Arial" w:eastAsia="Times New Roman" w:hAnsi="Arial" w:cs="Arial"/>
                <w:b/>
                <w:color w:val="FFFFFF" w:themeColor="background1"/>
                <w:sz w:val="20"/>
                <w:szCs w:val="20"/>
                <w:lang w:eastAsia="en-GB"/>
              </w:rPr>
            </w:pPr>
            <w:r w:rsidRPr="00EC4447">
              <w:rPr>
                <w:rFonts w:ascii="Arial" w:eastAsia="Times New Roman" w:hAnsi="Arial" w:cs="Arial"/>
                <w:b/>
                <w:color w:val="FFFFFF" w:themeColor="background1"/>
                <w:sz w:val="20"/>
                <w:szCs w:val="20"/>
                <w:lang w:eastAsia="en-GB"/>
              </w:rPr>
              <w:t>2018</w:t>
            </w:r>
            <w:r>
              <w:rPr>
                <w:rFonts w:ascii="Arial" w:eastAsia="Times New Roman" w:hAnsi="Arial" w:cs="Arial"/>
                <w:b/>
                <w:color w:val="FFFFFF" w:themeColor="background1"/>
                <w:sz w:val="20"/>
                <w:szCs w:val="20"/>
                <w:lang w:eastAsia="en-GB"/>
              </w:rPr>
              <w:t xml:space="preserve"> Survey</w:t>
            </w:r>
          </w:p>
        </w:tc>
        <w:tc>
          <w:tcPr>
            <w:tcW w:w="2208" w:type="dxa"/>
            <w:tcBorders>
              <w:top w:val="single" w:sz="4" w:space="0" w:color="auto"/>
              <w:left w:val="nil"/>
              <w:bottom w:val="single" w:sz="4" w:space="0" w:color="auto"/>
              <w:right w:val="single" w:sz="4" w:space="0" w:color="auto"/>
            </w:tcBorders>
            <w:shd w:val="clear" w:color="auto" w:fill="5B9BD5" w:themeFill="accent1"/>
            <w:vAlign w:val="center"/>
          </w:tcPr>
          <w:p w:rsidR="00EC4447" w:rsidRPr="00EC4447" w:rsidRDefault="00EC4447" w:rsidP="002B4D72">
            <w:pPr>
              <w:spacing w:after="0" w:line="240" w:lineRule="auto"/>
              <w:jc w:val="center"/>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2017 Survey</w:t>
            </w:r>
          </w:p>
        </w:tc>
        <w:tc>
          <w:tcPr>
            <w:tcW w:w="2126" w:type="dxa"/>
            <w:tcBorders>
              <w:top w:val="single" w:sz="4" w:space="0" w:color="auto"/>
              <w:left w:val="nil"/>
              <w:bottom w:val="single" w:sz="4" w:space="0" w:color="auto"/>
              <w:right w:val="single" w:sz="4" w:space="0" w:color="auto"/>
            </w:tcBorders>
            <w:shd w:val="clear" w:color="auto" w:fill="5B9BD5" w:themeFill="accent1"/>
            <w:vAlign w:val="center"/>
          </w:tcPr>
          <w:p w:rsidR="00EC4447" w:rsidRPr="00EC4447" w:rsidRDefault="00EC4447" w:rsidP="002B4D72">
            <w:pPr>
              <w:spacing w:after="0" w:line="240" w:lineRule="auto"/>
              <w:jc w:val="center"/>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2016 Survey</w:t>
            </w:r>
          </w:p>
        </w:tc>
      </w:tr>
      <w:tr w:rsidR="00EC4447" w:rsidRPr="00B10224"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447" w:rsidRPr="00B10224" w:rsidRDefault="00EC4447" w:rsidP="002B4D72">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White</w:t>
            </w:r>
          </w:p>
        </w:tc>
        <w:tc>
          <w:tcPr>
            <w:tcW w:w="2753" w:type="dxa"/>
            <w:tcBorders>
              <w:top w:val="single" w:sz="4" w:space="0" w:color="auto"/>
              <w:left w:val="nil"/>
              <w:bottom w:val="single" w:sz="4" w:space="0" w:color="auto"/>
              <w:right w:val="single" w:sz="4" w:space="0" w:color="auto"/>
            </w:tcBorders>
            <w:shd w:val="clear" w:color="auto" w:fill="auto"/>
            <w:noWrap/>
            <w:vAlign w:val="center"/>
          </w:tcPr>
          <w:p w:rsidR="00EC4447" w:rsidRPr="00B10224" w:rsidRDefault="00EC4447"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w:t>
            </w:r>
          </w:p>
        </w:tc>
        <w:tc>
          <w:tcPr>
            <w:tcW w:w="2208"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886D2E"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w:t>
            </w:r>
          </w:p>
        </w:tc>
        <w:tc>
          <w:tcPr>
            <w:tcW w:w="2126"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886D2E"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16%</w:t>
            </w:r>
          </w:p>
        </w:tc>
      </w:tr>
      <w:tr w:rsidR="00EC4447" w:rsidRPr="00B10224"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447" w:rsidRPr="00B10224" w:rsidRDefault="00EC4447" w:rsidP="002B4D7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w:t>
            </w:r>
            <w:r w:rsidRPr="00B10224">
              <w:rPr>
                <w:rFonts w:ascii="Arial" w:eastAsia="Times New Roman" w:hAnsi="Arial" w:cs="Arial"/>
                <w:sz w:val="20"/>
                <w:szCs w:val="20"/>
                <w:lang w:eastAsia="en-GB"/>
              </w:rPr>
              <w:t>ME</w:t>
            </w:r>
          </w:p>
        </w:tc>
        <w:tc>
          <w:tcPr>
            <w:tcW w:w="2753" w:type="dxa"/>
            <w:tcBorders>
              <w:top w:val="single" w:sz="4" w:space="0" w:color="auto"/>
              <w:left w:val="nil"/>
              <w:bottom w:val="single" w:sz="4" w:space="0" w:color="auto"/>
              <w:right w:val="single" w:sz="4" w:space="0" w:color="auto"/>
            </w:tcBorders>
            <w:shd w:val="clear" w:color="auto" w:fill="auto"/>
            <w:noWrap/>
            <w:vAlign w:val="center"/>
          </w:tcPr>
          <w:p w:rsidR="00EC4447" w:rsidRPr="00B10224" w:rsidRDefault="00EC4447"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2208"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886D2E"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w:t>
            </w:r>
          </w:p>
        </w:tc>
        <w:tc>
          <w:tcPr>
            <w:tcW w:w="2126" w:type="dxa"/>
            <w:tcBorders>
              <w:top w:val="single" w:sz="4" w:space="0" w:color="auto"/>
              <w:left w:val="nil"/>
              <w:bottom w:val="single" w:sz="4" w:space="0" w:color="auto"/>
              <w:right w:val="single" w:sz="4" w:space="0" w:color="auto"/>
            </w:tcBorders>
            <w:shd w:val="clear" w:color="auto" w:fill="auto"/>
            <w:vAlign w:val="center"/>
          </w:tcPr>
          <w:p w:rsidR="00EC4447" w:rsidRPr="00B10224" w:rsidRDefault="00886D2E" w:rsidP="002B4D7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w:t>
            </w:r>
          </w:p>
        </w:tc>
      </w:tr>
    </w:tbl>
    <w:p w:rsidR="000E1B7C" w:rsidRDefault="000E1B7C" w:rsidP="000E1B7C">
      <w:pPr>
        <w:jc w:val="both"/>
      </w:pPr>
      <w:r w:rsidRPr="000E1B7C">
        <w:t xml:space="preserve">The results from the latest staff survey indicates </w:t>
      </w:r>
      <w:r>
        <w:t xml:space="preserve">a smaller </w:t>
      </w:r>
      <w:r w:rsidRPr="000E1B7C">
        <w:t xml:space="preserve">proportion of </w:t>
      </w:r>
      <w:r>
        <w:t>BME</w:t>
      </w:r>
      <w:r w:rsidRPr="000E1B7C">
        <w:t xml:space="preserve"> staff </w:t>
      </w:r>
      <w:r>
        <w:t>have experienced hara</w:t>
      </w:r>
      <w:r w:rsidR="00F718BF">
        <w:t xml:space="preserve">ssment, bullying or abuse from staff </w:t>
      </w:r>
      <w:r>
        <w:t>when compared to white staff. This is also the case for the previous 2 years of staff survey results.</w:t>
      </w:r>
    </w:p>
    <w:p w:rsidR="002B39AF" w:rsidRDefault="002B39AF">
      <w:pPr>
        <w:spacing w:after="0" w:line="240" w:lineRule="auto"/>
        <w:rPr>
          <w:b/>
        </w:rPr>
      </w:pPr>
    </w:p>
    <w:p w:rsidR="00F306E8" w:rsidRDefault="00F306E8" w:rsidP="002B39AF">
      <w:pPr>
        <w:pStyle w:val="Heading3"/>
      </w:pPr>
      <w:r w:rsidRPr="007C606E">
        <w:t xml:space="preserve">Indicator </w:t>
      </w:r>
      <w:r>
        <w:t xml:space="preserve">7 - </w:t>
      </w:r>
      <w:r w:rsidRPr="00F306E8">
        <w:t>KF 21. Percentage believing that trust provides equal opportunities for career progression or promotion</w:t>
      </w:r>
    </w:p>
    <w:tbl>
      <w:tblPr>
        <w:tblW w:w="8500" w:type="dxa"/>
        <w:tblLook w:val="04A0" w:firstRow="1" w:lastRow="0" w:firstColumn="1" w:lastColumn="0" w:noHBand="0" w:noVBand="1"/>
      </w:tblPr>
      <w:tblGrid>
        <w:gridCol w:w="1413"/>
        <w:gridCol w:w="2753"/>
        <w:gridCol w:w="2208"/>
        <w:gridCol w:w="2126"/>
      </w:tblGrid>
      <w:tr w:rsidR="00886D2E" w:rsidRPr="00886D2E"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886D2E" w:rsidRPr="00886D2E" w:rsidRDefault="00886D2E" w:rsidP="0052029F">
            <w:pPr>
              <w:spacing w:after="0" w:line="240" w:lineRule="auto"/>
              <w:rPr>
                <w:rFonts w:ascii="Arial" w:eastAsia="Times New Roman" w:hAnsi="Arial" w:cs="Arial"/>
                <w:b/>
                <w:color w:val="FFFFFF" w:themeColor="background1"/>
                <w:sz w:val="20"/>
                <w:szCs w:val="20"/>
                <w:lang w:eastAsia="en-GB"/>
              </w:rPr>
            </w:pPr>
          </w:p>
        </w:tc>
        <w:tc>
          <w:tcPr>
            <w:tcW w:w="2753" w:type="dxa"/>
            <w:tcBorders>
              <w:top w:val="single" w:sz="4" w:space="0" w:color="auto"/>
              <w:left w:val="nil"/>
              <w:bottom w:val="single" w:sz="4" w:space="0" w:color="auto"/>
              <w:right w:val="single" w:sz="4" w:space="0" w:color="auto"/>
            </w:tcBorders>
            <w:shd w:val="clear" w:color="auto" w:fill="5B9BD5" w:themeFill="accent1"/>
            <w:noWrap/>
            <w:vAlign w:val="center"/>
          </w:tcPr>
          <w:p w:rsidR="00886D2E" w:rsidRPr="00886D2E" w:rsidRDefault="00886D2E" w:rsidP="0052029F">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c>
          <w:tcPr>
            <w:tcW w:w="2208" w:type="dxa"/>
            <w:tcBorders>
              <w:top w:val="single" w:sz="4" w:space="0" w:color="auto"/>
              <w:left w:val="nil"/>
              <w:bottom w:val="single" w:sz="4" w:space="0" w:color="auto"/>
              <w:right w:val="single" w:sz="4" w:space="0" w:color="auto"/>
            </w:tcBorders>
            <w:shd w:val="clear" w:color="auto" w:fill="5B9BD5" w:themeFill="accent1"/>
            <w:vAlign w:val="center"/>
          </w:tcPr>
          <w:p w:rsidR="00886D2E" w:rsidRPr="00886D2E" w:rsidRDefault="00886D2E" w:rsidP="0052029F">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2017 Survey</w:t>
            </w:r>
          </w:p>
        </w:tc>
        <w:tc>
          <w:tcPr>
            <w:tcW w:w="2126" w:type="dxa"/>
            <w:tcBorders>
              <w:top w:val="single" w:sz="4" w:space="0" w:color="auto"/>
              <w:left w:val="nil"/>
              <w:bottom w:val="single" w:sz="4" w:space="0" w:color="auto"/>
              <w:right w:val="single" w:sz="4" w:space="0" w:color="auto"/>
            </w:tcBorders>
            <w:shd w:val="clear" w:color="auto" w:fill="5B9BD5" w:themeFill="accent1"/>
            <w:vAlign w:val="center"/>
          </w:tcPr>
          <w:p w:rsidR="00886D2E" w:rsidRPr="00886D2E" w:rsidRDefault="00886D2E" w:rsidP="0052029F">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2016 Survey</w:t>
            </w:r>
          </w:p>
        </w:tc>
      </w:tr>
      <w:tr w:rsidR="00886D2E" w:rsidRPr="00886D2E"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D2E" w:rsidRPr="00886D2E" w:rsidRDefault="00886D2E" w:rsidP="0052029F">
            <w:pPr>
              <w:spacing w:after="0" w:line="240" w:lineRule="auto"/>
              <w:rPr>
                <w:rFonts w:ascii="Arial" w:eastAsia="Times New Roman" w:hAnsi="Arial" w:cs="Arial"/>
                <w:sz w:val="20"/>
                <w:szCs w:val="20"/>
                <w:lang w:eastAsia="en-GB"/>
              </w:rPr>
            </w:pPr>
            <w:r w:rsidRPr="00886D2E">
              <w:rPr>
                <w:rFonts w:ascii="Arial" w:eastAsia="Times New Roman" w:hAnsi="Arial" w:cs="Arial"/>
                <w:sz w:val="20"/>
                <w:szCs w:val="20"/>
                <w:lang w:eastAsia="en-GB"/>
              </w:rPr>
              <w:t>White</w:t>
            </w:r>
          </w:p>
        </w:tc>
        <w:tc>
          <w:tcPr>
            <w:tcW w:w="2753" w:type="dxa"/>
            <w:tcBorders>
              <w:top w:val="single" w:sz="4" w:space="0" w:color="auto"/>
              <w:left w:val="nil"/>
              <w:bottom w:val="single" w:sz="4" w:space="0" w:color="auto"/>
              <w:right w:val="single" w:sz="4" w:space="0" w:color="auto"/>
            </w:tcBorders>
            <w:shd w:val="clear" w:color="auto" w:fill="auto"/>
            <w:noWrap/>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90%</w:t>
            </w:r>
          </w:p>
        </w:tc>
        <w:tc>
          <w:tcPr>
            <w:tcW w:w="2208"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90%</w:t>
            </w:r>
          </w:p>
        </w:tc>
        <w:tc>
          <w:tcPr>
            <w:tcW w:w="2126"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91%</w:t>
            </w:r>
          </w:p>
        </w:tc>
      </w:tr>
      <w:tr w:rsidR="00886D2E" w:rsidRPr="00886D2E"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D2E" w:rsidRPr="00886D2E" w:rsidRDefault="00886D2E" w:rsidP="0052029F">
            <w:pPr>
              <w:spacing w:after="0" w:line="240" w:lineRule="auto"/>
              <w:rPr>
                <w:rFonts w:ascii="Arial" w:eastAsia="Times New Roman" w:hAnsi="Arial" w:cs="Arial"/>
                <w:sz w:val="20"/>
                <w:szCs w:val="20"/>
                <w:lang w:eastAsia="en-GB"/>
              </w:rPr>
            </w:pPr>
            <w:r w:rsidRPr="00886D2E">
              <w:rPr>
                <w:rFonts w:ascii="Arial" w:eastAsia="Times New Roman" w:hAnsi="Arial" w:cs="Arial"/>
                <w:sz w:val="20"/>
                <w:szCs w:val="20"/>
                <w:lang w:eastAsia="en-GB"/>
              </w:rPr>
              <w:t>BME</w:t>
            </w:r>
          </w:p>
        </w:tc>
        <w:tc>
          <w:tcPr>
            <w:tcW w:w="2753" w:type="dxa"/>
            <w:tcBorders>
              <w:top w:val="single" w:sz="4" w:space="0" w:color="auto"/>
              <w:left w:val="nil"/>
              <w:bottom w:val="single" w:sz="4" w:space="0" w:color="auto"/>
              <w:right w:val="single" w:sz="4" w:space="0" w:color="auto"/>
            </w:tcBorders>
            <w:shd w:val="clear" w:color="auto" w:fill="auto"/>
            <w:noWrap/>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82%</w:t>
            </w:r>
          </w:p>
        </w:tc>
        <w:tc>
          <w:tcPr>
            <w:tcW w:w="2208"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90%</w:t>
            </w:r>
          </w:p>
        </w:tc>
        <w:tc>
          <w:tcPr>
            <w:tcW w:w="2126"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97%</w:t>
            </w:r>
          </w:p>
        </w:tc>
      </w:tr>
    </w:tbl>
    <w:p w:rsidR="000E1B7C" w:rsidRDefault="000E1B7C" w:rsidP="000E1B7C">
      <w:pPr>
        <w:jc w:val="both"/>
      </w:pPr>
      <w:r w:rsidRPr="000E1B7C">
        <w:t xml:space="preserve">The results from the latest staff survey indicates </w:t>
      </w:r>
      <w:r>
        <w:t>that fewer BME</w:t>
      </w:r>
      <w:r w:rsidRPr="000E1B7C">
        <w:t xml:space="preserve"> staff </w:t>
      </w:r>
      <w:r>
        <w:t xml:space="preserve">believe the trust provides equal opportunities for career progression or promotion when compared to white staff. For the previous staff survey in 2017 the figures for both BME and white were the same and in 2016.  </w:t>
      </w:r>
    </w:p>
    <w:p w:rsidR="000E1B7C" w:rsidRDefault="000E1B7C" w:rsidP="000E1B7C">
      <w:pPr>
        <w:jc w:val="both"/>
      </w:pPr>
      <w:r>
        <w:t>The proportion of BME staff that believe the trust provides equal opportunities for career progression has reduced from 97% in 2016 to 82% in 2018.</w:t>
      </w:r>
    </w:p>
    <w:p w:rsidR="002B39AF" w:rsidRDefault="002B39AF">
      <w:pPr>
        <w:spacing w:after="0" w:line="240" w:lineRule="auto"/>
        <w:rPr>
          <w:b/>
        </w:rPr>
      </w:pPr>
    </w:p>
    <w:p w:rsidR="00F306E8" w:rsidRDefault="00F306E8" w:rsidP="002B39AF">
      <w:pPr>
        <w:pStyle w:val="Heading3"/>
      </w:pPr>
      <w:r w:rsidRPr="007C606E">
        <w:t xml:space="preserve">Indicator </w:t>
      </w:r>
      <w:r>
        <w:t xml:space="preserve">8 - </w:t>
      </w:r>
      <w:r w:rsidRPr="00F306E8">
        <w:t>Q217. In the last 12 months, have you personally experienced discrimination at work from any of the following? b) Manager/team leader or other colleagues</w:t>
      </w:r>
    </w:p>
    <w:tbl>
      <w:tblPr>
        <w:tblW w:w="8500" w:type="dxa"/>
        <w:tblLook w:val="04A0" w:firstRow="1" w:lastRow="0" w:firstColumn="1" w:lastColumn="0" w:noHBand="0" w:noVBand="1"/>
      </w:tblPr>
      <w:tblGrid>
        <w:gridCol w:w="1413"/>
        <w:gridCol w:w="2753"/>
        <w:gridCol w:w="2208"/>
        <w:gridCol w:w="2126"/>
      </w:tblGrid>
      <w:tr w:rsidR="00886D2E" w:rsidRPr="00886D2E"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886D2E" w:rsidRPr="00886D2E" w:rsidRDefault="00886D2E" w:rsidP="0052029F">
            <w:pPr>
              <w:spacing w:after="0" w:line="240" w:lineRule="auto"/>
              <w:rPr>
                <w:rFonts w:ascii="Arial" w:eastAsia="Times New Roman" w:hAnsi="Arial" w:cs="Arial"/>
                <w:b/>
                <w:color w:val="FFFFFF" w:themeColor="background1"/>
                <w:sz w:val="20"/>
                <w:szCs w:val="20"/>
                <w:lang w:eastAsia="en-GB"/>
              </w:rPr>
            </w:pPr>
          </w:p>
        </w:tc>
        <w:tc>
          <w:tcPr>
            <w:tcW w:w="2753" w:type="dxa"/>
            <w:tcBorders>
              <w:top w:val="single" w:sz="4" w:space="0" w:color="auto"/>
              <w:left w:val="nil"/>
              <w:bottom w:val="single" w:sz="4" w:space="0" w:color="auto"/>
              <w:right w:val="single" w:sz="4" w:space="0" w:color="auto"/>
            </w:tcBorders>
            <w:shd w:val="clear" w:color="auto" w:fill="5B9BD5" w:themeFill="accent1"/>
            <w:noWrap/>
            <w:vAlign w:val="center"/>
          </w:tcPr>
          <w:p w:rsidR="00886D2E" w:rsidRPr="00886D2E" w:rsidRDefault="00886D2E" w:rsidP="0052029F">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c>
          <w:tcPr>
            <w:tcW w:w="2208" w:type="dxa"/>
            <w:tcBorders>
              <w:top w:val="single" w:sz="4" w:space="0" w:color="auto"/>
              <w:left w:val="nil"/>
              <w:bottom w:val="single" w:sz="4" w:space="0" w:color="auto"/>
              <w:right w:val="single" w:sz="4" w:space="0" w:color="auto"/>
            </w:tcBorders>
            <w:shd w:val="clear" w:color="auto" w:fill="5B9BD5" w:themeFill="accent1"/>
            <w:vAlign w:val="center"/>
          </w:tcPr>
          <w:p w:rsidR="00886D2E" w:rsidRPr="00886D2E" w:rsidRDefault="00886D2E" w:rsidP="0052029F">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2017 Survey</w:t>
            </w:r>
          </w:p>
        </w:tc>
        <w:tc>
          <w:tcPr>
            <w:tcW w:w="2126" w:type="dxa"/>
            <w:tcBorders>
              <w:top w:val="single" w:sz="4" w:space="0" w:color="auto"/>
              <w:left w:val="nil"/>
              <w:bottom w:val="single" w:sz="4" w:space="0" w:color="auto"/>
              <w:right w:val="single" w:sz="4" w:space="0" w:color="auto"/>
            </w:tcBorders>
            <w:shd w:val="clear" w:color="auto" w:fill="5B9BD5" w:themeFill="accent1"/>
            <w:vAlign w:val="center"/>
          </w:tcPr>
          <w:p w:rsidR="00886D2E" w:rsidRPr="00886D2E" w:rsidRDefault="00886D2E" w:rsidP="0052029F">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2016 Survey</w:t>
            </w:r>
          </w:p>
        </w:tc>
      </w:tr>
      <w:tr w:rsidR="00886D2E" w:rsidRPr="00886D2E"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D2E" w:rsidRPr="00886D2E" w:rsidRDefault="00886D2E" w:rsidP="0052029F">
            <w:pPr>
              <w:spacing w:after="0" w:line="240" w:lineRule="auto"/>
              <w:rPr>
                <w:rFonts w:ascii="Arial" w:eastAsia="Times New Roman" w:hAnsi="Arial" w:cs="Arial"/>
                <w:sz w:val="20"/>
                <w:szCs w:val="20"/>
                <w:lang w:eastAsia="en-GB"/>
              </w:rPr>
            </w:pPr>
            <w:r w:rsidRPr="00886D2E">
              <w:rPr>
                <w:rFonts w:ascii="Arial" w:eastAsia="Times New Roman" w:hAnsi="Arial" w:cs="Arial"/>
                <w:sz w:val="20"/>
                <w:szCs w:val="20"/>
                <w:lang w:eastAsia="en-GB"/>
              </w:rPr>
              <w:t>White</w:t>
            </w:r>
          </w:p>
        </w:tc>
        <w:tc>
          <w:tcPr>
            <w:tcW w:w="2753" w:type="dxa"/>
            <w:tcBorders>
              <w:top w:val="single" w:sz="4" w:space="0" w:color="auto"/>
              <w:left w:val="nil"/>
              <w:bottom w:val="single" w:sz="4" w:space="0" w:color="auto"/>
              <w:right w:val="single" w:sz="4" w:space="0" w:color="auto"/>
            </w:tcBorders>
            <w:shd w:val="clear" w:color="auto" w:fill="auto"/>
            <w:noWrap/>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2208"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2126"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r>
      <w:tr w:rsidR="00886D2E" w:rsidRPr="00886D2E" w:rsidTr="00886D2E">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D2E" w:rsidRPr="00886D2E" w:rsidRDefault="00886D2E" w:rsidP="0052029F">
            <w:pPr>
              <w:spacing w:after="0" w:line="240" w:lineRule="auto"/>
              <w:rPr>
                <w:rFonts w:ascii="Arial" w:eastAsia="Times New Roman" w:hAnsi="Arial" w:cs="Arial"/>
                <w:sz w:val="20"/>
                <w:szCs w:val="20"/>
                <w:lang w:eastAsia="en-GB"/>
              </w:rPr>
            </w:pPr>
            <w:r w:rsidRPr="00886D2E">
              <w:rPr>
                <w:rFonts w:ascii="Arial" w:eastAsia="Times New Roman" w:hAnsi="Arial" w:cs="Arial"/>
                <w:sz w:val="20"/>
                <w:szCs w:val="20"/>
                <w:lang w:eastAsia="en-GB"/>
              </w:rPr>
              <w:t>BME</w:t>
            </w:r>
          </w:p>
        </w:tc>
        <w:tc>
          <w:tcPr>
            <w:tcW w:w="2753" w:type="dxa"/>
            <w:tcBorders>
              <w:top w:val="single" w:sz="4" w:space="0" w:color="auto"/>
              <w:left w:val="nil"/>
              <w:bottom w:val="single" w:sz="4" w:space="0" w:color="auto"/>
              <w:right w:val="single" w:sz="4" w:space="0" w:color="auto"/>
            </w:tcBorders>
            <w:shd w:val="clear" w:color="auto" w:fill="auto"/>
            <w:noWrap/>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2208"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2126" w:type="dxa"/>
            <w:tcBorders>
              <w:top w:val="single" w:sz="4" w:space="0" w:color="auto"/>
              <w:left w:val="nil"/>
              <w:bottom w:val="single" w:sz="4" w:space="0" w:color="auto"/>
              <w:right w:val="single" w:sz="4" w:space="0" w:color="auto"/>
            </w:tcBorders>
            <w:shd w:val="clear" w:color="auto" w:fill="auto"/>
            <w:vAlign w:val="center"/>
          </w:tcPr>
          <w:p w:rsidR="00886D2E" w:rsidRPr="00886D2E" w:rsidRDefault="00886D2E" w:rsidP="0052029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r>
    </w:tbl>
    <w:p w:rsidR="00886D2E" w:rsidRDefault="000E1B7C" w:rsidP="000E1B7C">
      <w:pPr>
        <w:jc w:val="both"/>
      </w:pPr>
      <w:r w:rsidRPr="000E1B7C">
        <w:t xml:space="preserve">The results from the latest staff survey indicates </w:t>
      </w:r>
      <w:r>
        <w:t>that fewer BME</w:t>
      </w:r>
      <w:r w:rsidRPr="000E1B7C">
        <w:t xml:space="preserve"> staff </w:t>
      </w:r>
      <w:r>
        <w:t xml:space="preserve">have experience </w:t>
      </w:r>
      <w:r>
        <w:lastRenderedPageBreak/>
        <w:t>discrimination from their manager when compared to white staff.</w:t>
      </w:r>
    </w:p>
    <w:p w:rsidR="000E1B7C" w:rsidRDefault="000E1B7C" w:rsidP="000E1B7C">
      <w:pPr>
        <w:jc w:val="both"/>
        <w:rPr>
          <w:b/>
        </w:rPr>
      </w:pPr>
    </w:p>
    <w:p w:rsidR="00B10224" w:rsidRDefault="00B10224" w:rsidP="002B39AF">
      <w:pPr>
        <w:pStyle w:val="Heading3"/>
      </w:pPr>
      <w:r w:rsidRPr="00886D2E">
        <w:t>Indicator 9 - Percentage difference between the organisations’ Board voting membership and its overall workforce</w:t>
      </w:r>
    </w:p>
    <w:p w:rsidR="00E36DBE" w:rsidRDefault="00E36DBE" w:rsidP="000E1B7C">
      <w:pPr>
        <w:spacing w:after="0"/>
        <w:rPr>
          <w:b/>
          <w:color w:val="595959" w:themeColor="text1" w:themeTint="A6"/>
        </w:rPr>
      </w:pPr>
    </w:p>
    <w:p w:rsidR="00B10224" w:rsidRPr="000E1B7C" w:rsidRDefault="00B10224" w:rsidP="000E1B7C">
      <w:pPr>
        <w:spacing w:after="0"/>
        <w:rPr>
          <w:b/>
          <w:color w:val="595959" w:themeColor="text1" w:themeTint="A6"/>
        </w:rPr>
      </w:pPr>
      <w:r w:rsidRPr="000E1B7C">
        <w:rPr>
          <w:b/>
          <w:color w:val="595959" w:themeColor="text1" w:themeTint="A6"/>
        </w:rPr>
        <w:t>Current Year 2018-19</w:t>
      </w:r>
    </w:p>
    <w:tbl>
      <w:tblPr>
        <w:tblW w:w="8924" w:type="dxa"/>
        <w:jc w:val="center"/>
        <w:tblLayout w:type="fixed"/>
        <w:tblLook w:val="04A0" w:firstRow="1" w:lastRow="0" w:firstColumn="1" w:lastColumn="0" w:noHBand="0" w:noVBand="1"/>
      </w:tblPr>
      <w:tblGrid>
        <w:gridCol w:w="1166"/>
        <w:gridCol w:w="918"/>
        <w:gridCol w:w="1175"/>
        <w:gridCol w:w="1175"/>
        <w:gridCol w:w="1176"/>
        <w:gridCol w:w="3314"/>
      </w:tblGrid>
      <w:tr w:rsidR="006A7C8C" w:rsidRPr="00B10224" w:rsidTr="00E36DBE">
        <w:trPr>
          <w:trHeight w:val="409"/>
          <w:jc w:val="center"/>
        </w:trPr>
        <w:tc>
          <w:tcPr>
            <w:tcW w:w="1166"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6A7C8C" w:rsidRPr="00B10224" w:rsidRDefault="006A7C8C" w:rsidP="00B10224">
            <w:pPr>
              <w:spacing w:after="0" w:line="240" w:lineRule="auto"/>
              <w:rPr>
                <w:rFonts w:eastAsia="Times New Roman" w:cs="Calibri"/>
                <w:b/>
                <w:bCs/>
                <w:color w:val="FFFFFF"/>
                <w:lang w:eastAsia="en-GB"/>
              </w:rPr>
            </w:pPr>
            <w:r w:rsidRPr="00B10224">
              <w:rPr>
                <w:rFonts w:eastAsia="Times New Roman" w:cs="Calibri"/>
                <w:b/>
                <w:bCs/>
                <w:color w:val="FFFFFF"/>
                <w:lang w:eastAsia="en-GB"/>
              </w:rPr>
              <w:t> </w:t>
            </w:r>
          </w:p>
        </w:tc>
        <w:tc>
          <w:tcPr>
            <w:tcW w:w="2093" w:type="dxa"/>
            <w:gridSpan w:val="2"/>
            <w:tcBorders>
              <w:top w:val="single" w:sz="4" w:space="0" w:color="auto"/>
              <w:left w:val="nil"/>
              <w:bottom w:val="single" w:sz="4" w:space="0" w:color="auto"/>
              <w:right w:val="single" w:sz="4" w:space="0" w:color="auto"/>
            </w:tcBorders>
            <w:shd w:val="clear" w:color="auto" w:fill="5B9BD5" w:themeFill="accent1"/>
            <w:noWrap/>
            <w:vAlign w:val="center"/>
            <w:hideMark/>
          </w:tcPr>
          <w:p w:rsidR="006A7C8C" w:rsidRPr="00B10224" w:rsidRDefault="006A7C8C" w:rsidP="00B10224">
            <w:pPr>
              <w:spacing w:after="0" w:line="240" w:lineRule="auto"/>
              <w:jc w:val="center"/>
              <w:rPr>
                <w:rFonts w:eastAsia="Times New Roman" w:cs="Calibri"/>
                <w:b/>
                <w:bCs/>
                <w:color w:val="FFFFFF"/>
                <w:lang w:eastAsia="en-GB"/>
              </w:rPr>
            </w:pPr>
            <w:r w:rsidRPr="00B10224">
              <w:rPr>
                <w:rFonts w:eastAsia="Times New Roman" w:cs="Calibri"/>
                <w:b/>
                <w:bCs/>
                <w:color w:val="FFFFFF"/>
                <w:lang w:eastAsia="en-GB"/>
              </w:rPr>
              <w:t>Board Member</w:t>
            </w:r>
          </w:p>
        </w:tc>
        <w:tc>
          <w:tcPr>
            <w:tcW w:w="2351" w:type="dxa"/>
            <w:gridSpan w:val="2"/>
            <w:tcBorders>
              <w:top w:val="single" w:sz="4" w:space="0" w:color="auto"/>
              <w:left w:val="nil"/>
              <w:bottom w:val="single" w:sz="4" w:space="0" w:color="auto"/>
              <w:right w:val="single" w:sz="4" w:space="0" w:color="auto"/>
            </w:tcBorders>
            <w:shd w:val="clear" w:color="auto" w:fill="5B9BD5" w:themeFill="accent1"/>
            <w:noWrap/>
            <w:vAlign w:val="center"/>
            <w:hideMark/>
          </w:tcPr>
          <w:p w:rsidR="006A7C8C" w:rsidRPr="00B10224" w:rsidRDefault="006A7C8C" w:rsidP="00B10224">
            <w:pPr>
              <w:spacing w:after="0" w:line="240" w:lineRule="auto"/>
              <w:jc w:val="center"/>
              <w:rPr>
                <w:rFonts w:eastAsia="Times New Roman" w:cs="Calibri"/>
                <w:b/>
                <w:bCs/>
                <w:color w:val="FFFFFF"/>
                <w:lang w:eastAsia="en-GB"/>
              </w:rPr>
            </w:pPr>
            <w:r w:rsidRPr="00B10224">
              <w:rPr>
                <w:rFonts w:eastAsia="Times New Roman" w:cs="Calibri"/>
                <w:b/>
                <w:bCs/>
                <w:color w:val="FFFFFF"/>
                <w:lang w:eastAsia="en-GB"/>
              </w:rPr>
              <w:t>Overall Workforce</w:t>
            </w:r>
          </w:p>
        </w:tc>
        <w:tc>
          <w:tcPr>
            <w:tcW w:w="3314" w:type="dxa"/>
            <w:tcBorders>
              <w:top w:val="single" w:sz="4" w:space="0" w:color="auto"/>
              <w:left w:val="nil"/>
              <w:bottom w:val="single" w:sz="4" w:space="0" w:color="auto"/>
              <w:right w:val="single" w:sz="4" w:space="0" w:color="auto"/>
            </w:tcBorders>
            <w:shd w:val="clear" w:color="auto" w:fill="5B9BD5" w:themeFill="accent1"/>
          </w:tcPr>
          <w:p w:rsidR="006A7C8C" w:rsidRPr="00B10224" w:rsidRDefault="006A7C8C" w:rsidP="006A7C8C">
            <w:pPr>
              <w:spacing w:after="0" w:line="240" w:lineRule="auto"/>
              <w:rPr>
                <w:rFonts w:eastAsia="Times New Roman" w:cs="Calibri"/>
                <w:b/>
                <w:bCs/>
                <w:color w:val="FFFFFF"/>
                <w:lang w:eastAsia="en-GB"/>
              </w:rPr>
            </w:pPr>
            <w:r w:rsidRPr="006A7C8C">
              <w:rPr>
                <w:rFonts w:eastAsia="Times New Roman" w:cs="Calibri"/>
                <w:b/>
                <w:bCs/>
                <w:color w:val="FFFFFF"/>
                <w:lang w:eastAsia="en-GB"/>
              </w:rPr>
              <w:t>Percentage difference between the organisation board voting membership and its overall workforce</w:t>
            </w:r>
          </w:p>
        </w:tc>
      </w:tr>
      <w:tr w:rsidR="006A7C8C" w:rsidRPr="00B10224" w:rsidTr="00E36DBE">
        <w:trPr>
          <w:trHeight w:val="406"/>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6A7C8C" w:rsidRPr="00B10224" w:rsidRDefault="006A7C8C"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White</w:t>
            </w:r>
          </w:p>
        </w:tc>
        <w:tc>
          <w:tcPr>
            <w:tcW w:w="918"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lang w:eastAsia="en-GB"/>
              </w:rPr>
            </w:pPr>
            <w:r w:rsidRPr="00B10224">
              <w:rPr>
                <w:lang w:eastAsia="en-GB"/>
              </w:rPr>
              <w:t>12</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rFonts w:cs="Calibri"/>
                <w:color w:val="000000"/>
                <w:lang w:eastAsia="en-GB"/>
              </w:rPr>
            </w:pPr>
            <w:r>
              <w:rPr>
                <w:rFonts w:cs="Calibri"/>
                <w:color w:val="000000"/>
                <w:lang w:eastAsia="en-GB"/>
              </w:rPr>
              <w:t>85.71</w:t>
            </w:r>
            <w:r w:rsidRPr="00B10224">
              <w:rPr>
                <w:rFonts w:cs="Calibri"/>
                <w:color w:val="000000"/>
                <w:lang w:eastAsia="en-GB"/>
              </w:rPr>
              <w:t>%</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lang w:eastAsia="en-GB"/>
              </w:rPr>
            </w:pPr>
            <w:r w:rsidRPr="00B10224">
              <w:rPr>
                <w:lang w:eastAsia="en-GB"/>
              </w:rPr>
              <w:t>336</w:t>
            </w:r>
            <w:r>
              <w:rPr>
                <w:lang w:eastAsia="en-GB"/>
              </w:rPr>
              <w:t>7</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rFonts w:cs="Calibri"/>
                <w:color w:val="000000"/>
                <w:lang w:eastAsia="en-GB"/>
              </w:rPr>
            </w:pPr>
            <w:r>
              <w:rPr>
                <w:rFonts w:cs="Calibri"/>
                <w:color w:val="000000"/>
                <w:lang w:eastAsia="en-GB"/>
              </w:rPr>
              <w:t>93.11</w:t>
            </w:r>
            <w:r w:rsidRPr="00B10224">
              <w:rPr>
                <w:rFonts w:cs="Calibri"/>
                <w:color w:val="000000"/>
                <w:lang w:eastAsia="en-GB"/>
              </w:rPr>
              <w:t>%</w:t>
            </w:r>
          </w:p>
        </w:tc>
        <w:tc>
          <w:tcPr>
            <w:tcW w:w="3314" w:type="dxa"/>
            <w:tcBorders>
              <w:top w:val="nil"/>
              <w:left w:val="nil"/>
              <w:bottom w:val="single" w:sz="4" w:space="0" w:color="auto"/>
              <w:right w:val="single" w:sz="4" w:space="0" w:color="auto"/>
            </w:tcBorders>
            <w:vAlign w:val="center"/>
          </w:tcPr>
          <w:p w:rsidR="006A7C8C" w:rsidRDefault="006A7C8C" w:rsidP="006A7C8C">
            <w:pPr>
              <w:pStyle w:val="NoSpacing"/>
              <w:jc w:val="center"/>
              <w:rPr>
                <w:rFonts w:cs="Calibri"/>
                <w:color w:val="000000"/>
                <w:lang w:eastAsia="en-GB"/>
              </w:rPr>
            </w:pPr>
            <w:r>
              <w:rPr>
                <w:rFonts w:cs="Calibri"/>
                <w:color w:val="000000"/>
                <w:lang w:eastAsia="en-GB"/>
              </w:rPr>
              <w:t>-7.40%</w:t>
            </w:r>
          </w:p>
        </w:tc>
      </w:tr>
      <w:tr w:rsidR="006A7C8C" w:rsidRPr="00B10224" w:rsidTr="00E36DBE">
        <w:trPr>
          <w:trHeight w:val="406"/>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6A7C8C" w:rsidRPr="00B10224" w:rsidRDefault="006A7C8C" w:rsidP="00B1022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918"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lang w:eastAsia="en-GB"/>
              </w:rPr>
            </w:pPr>
            <w:r w:rsidRPr="00B10224">
              <w:rPr>
                <w:lang w:eastAsia="en-GB"/>
              </w:rPr>
              <w:t>1</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rFonts w:cs="Calibri"/>
                <w:color w:val="000000"/>
                <w:lang w:eastAsia="en-GB"/>
              </w:rPr>
            </w:pPr>
            <w:r>
              <w:rPr>
                <w:rFonts w:cs="Calibri"/>
                <w:color w:val="000000"/>
                <w:lang w:eastAsia="en-GB"/>
              </w:rPr>
              <w:t>7.14</w:t>
            </w:r>
            <w:r w:rsidRPr="00B10224">
              <w:rPr>
                <w:rFonts w:cs="Calibri"/>
                <w:color w:val="000000"/>
                <w:lang w:eastAsia="en-GB"/>
              </w:rPr>
              <w:t>%</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lang w:eastAsia="en-GB"/>
              </w:rPr>
            </w:pPr>
            <w:r>
              <w:rPr>
                <w:lang w:eastAsia="en-GB"/>
              </w:rPr>
              <w:t>143</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rFonts w:cs="Calibri"/>
                <w:color w:val="000000"/>
                <w:lang w:eastAsia="en-GB"/>
              </w:rPr>
            </w:pPr>
            <w:r>
              <w:rPr>
                <w:rFonts w:cs="Calibri"/>
                <w:color w:val="000000"/>
                <w:lang w:eastAsia="en-GB"/>
              </w:rPr>
              <w:t>3.95</w:t>
            </w:r>
            <w:r w:rsidRPr="00B10224">
              <w:rPr>
                <w:rFonts w:cs="Calibri"/>
                <w:color w:val="000000"/>
                <w:lang w:eastAsia="en-GB"/>
              </w:rPr>
              <w:t>%</w:t>
            </w:r>
          </w:p>
        </w:tc>
        <w:tc>
          <w:tcPr>
            <w:tcW w:w="3314" w:type="dxa"/>
            <w:tcBorders>
              <w:top w:val="nil"/>
              <w:left w:val="nil"/>
              <w:bottom w:val="single" w:sz="4" w:space="0" w:color="auto"/>
              <w:right w:val="single" w:sz="4" w:space="0" w:color="auto"/>
            </w:tcBorders>
            <w:vAlign w:val="center"/>
          </w:tcPr>
          <w:p w:rsidR="006A7C8C" w:rsidRDefault="006A7C8C" w:rsidP="006A7C8C">
            <w:pPr>
              <w:pStyle w:val="NoSpacing"/>
              <w:jc w:val="center"/>
              <w:rPr>
                <w:rFonts w:cs="Calibri"/>
                <w:color w:val="000000"/>
                <w:lang w:eastAsia="en-GB"/>
              </w:rPr>
            </w:pPr>
            <w:r>
              <w:rPr>
                <w:rFonts w:cs="Calibri"/>
                <w:color w:val="000000"/>
                <w:lang w:eastAsia="en-GB"/>
              </w:rPr>
              <w:t>3.19%</w:t>
            </w:r>
          </w:p>
        </w:tc>
      </w:tr>
      <w:tr w:rsidR="006A7C8C" w:rsidRPr="00B10224" w:rsidTr="00E36DBE">
        <w:trPr>
          <w:trHeight w:val="406"/>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6A7C8C" w:rsidRPr="00B10224" w:rsidRDefault="006A7C8C"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Not Stated</w:t>
            </w:r>
          </w:p>
        </w:tc>
        <w:tc>
          <w:tcPr>
            <w:tcW w:w="918"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lang w:eastAsia="en-GB"/>
              </w:rPr>
            </w:pPr>
            <w:r>
              <w:rPr>
                <w:lang w:eastAsia="en-GB"/>
              </w:rPr>
              <w:t>1</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rFonts w:cs="Calibri"/>
                <w:color w:val="000000"/>
                <w:lang w:eastAsia="en-GB"/>
              </w:rPr>
            </w:pPr>
            <w:r>
              <w:rPr>
                <w:rFonts w:cs="Calibri"/>
                <w:color w:val="000000"/>
                <w:lang w:eastAsia="en-GB"/>
              </w:rPr>
              <w:t>7.14</w:t>
            </w:r>
            <w:r w:rsidRPr="00B10224">
              <w:rPr>
                <w:rFonts w:cs="Calibri"/>
                <w:color w:val="000000"/>
                <w:lang w:eastAsia="en-GB"/>
              </w:rPr>
              <w:t>%</w:t>
            </w:r>
          </w:p>
        </w:tc>
        <w:tc>
          <w:tcPr>
            <w:tcW w:w="1175" w:type="dxa"/>
            <w:tcBorders>
              <w:top w:val="nil"/>
              <w:left w:val="nil"/>
              <w:bottom w:val="single" w:sz="4" w:space="0" w:color="auto"/>
              <w:right w:val="single" w:sz="4" w:space="0" w:color="auto"/>
            </w:tcBorders>
            <w:shd w:val="clear" w:color="000000" w:fill="FFFFFF"/>
            <w:noWrap/>
            <w:vAlign w:val="center"/>
            <w:hideMark/>
          </w:tcPr>
          <w:p w:rsidR="006A7C8C" w:rsidRPr="00B10224" w:rsidRDefault="006A7C8C" w:rsidP="006A7C8C">
            <w:pPr>
              <w:pStyle w:val="NoSpacing"/>
              <w:jc w:val="center"/>
              <w:rPr>
                <w:lang w:eastAsia="en-GB"/>
              </w:rPr>
            </w:pPr>
            <w:r>
              <w:rPr>
                <w:lang w:eastAsia="en-GB"/>
              </w:rPr>
              <w:t>106</w:t>
            </w:r>
          </w:p>
        </w:tc>
        <w:tc>
          <w:tcPr>
            <w:tcW w:w="1175"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A7C8C">
            <w:pPr>
              <w:pStyle w:val="NoSpacing"/>
              <w:jc w:val="center"/>
              <w:rPr>
                <w:rFonts w:cs="Calibri"/>
                <w:color w:val="000000"/>
                <w:lang w:eastAsia="en-GB"/>
              </w:rPr>
            </w:pPr>
            <w:r>
              <w:rPr>
                <w:rFonts w:cs="Calibri"/>
                <w:color w:val="000000"/>
                <w:lang w:eastAsia="en-GB"/>
              </w:rPr>
              <w:t>2.93</w:t>
            </w:r>
            <w:r w:rsidRPr="00B10224">
              <w:rPr>
                <w:rFonts w:cs="Calibri"/>
                <w:color w:val="000000"/>
                <w:lang w:eastAsia="en-GB"/>
              </w:rPr>
              <w:t>%</w:t>
            </w:r>
          </w:p>
        </w:tc>
        <w:tc>
          <w:tcPr>
            <w:tcW w:w="3314" w:type="dxa"/>
            <w:tcBorders>
              <w:top w:val="nil"/>
              <w:left w:val="nil"/>
              <w:bottom w:val="single" w:sz="4" w:space="0" w:color="auto"/>
              <w:right w:val="single" w:sz="4" w:space="0" w:color="auto"/>
            </w:tcBorders>
            <w:vAlign w:val="center"/>
          </w:tcPr>
          <w:p w:rsidR="006A7C8C" w:rsidRDefault="006A7C8C" w:rsidP="006A7C8C">
            <w:pPr>
              <w:pStyle w:val="NoSpacing"/>
              <w:jc w:val="center"/>
              <w:rPr>
                <w:rFonts w:cs="Calibri"/>
                <w:color w:val="000000"/>
                <w:lang w:eastAsia="en-GB"/>
              </w:rPr>
            </w:pPr>
            <w:r>
              <w:rPr>
                <w:rFonts w:cs="Calibri"/>
                <w:color w:val="000000"/>
                <w:lang w:eastAsia="en-GB"/>
              </w:rPr>
              <w:t>4.21%</w:t>
            </w:r>
          </w:p>
        </w:tc>
      </w:tr>
    </w:tbl>
    <w:p w:rsidR="00B10224" w:rsidRDefault="00E36DBE" w:rsidP="00B10224">
      <w:r>
        <w:t>As at March 2019, t</w:t>
      </w:r>
      <w:r w:rsidR="00851B5D">
        <w:t>he T</w:t>
      </w:r>
      <w:r w:rsidR="00B10224">
        <w:t>rust</w:t>
      </w:r>
      <w:r w:rsidR="00851B5D">
        <w:t>’s B</w:t>
      </w:r>
      <w:r w:rsidR="00B10224">
        <w:t>oard is made up of 7.</w:t>
      </w:r>
      <w:r>
        <w:t>14</w:t>
      </w:r>
      <w:r w:rsidR="00B10224">
        <w:t xml:space="preserve">% of </w:t>
      </w:r>
      <w:r w:rsidR="00EC4447">
        <w:t>BME</w:t>
      </w:r>
      <w:r w:rsidR="00B10224">
        <w:t xml:space="preserve"> staff compared with </w:t>
      </w:r>
      <w:r>
        <w:t>3.95</w:t>
      </w:r>
      <w:r w:rsidR="00B10224">
        <w:t>% of the overall trust</w:t>
      </w:r>
      <w:r>
        <w:t>. A difference of 3.19%</w:t>
      </w:r>
    </w:p>
    <w:p w:rsidR="00B10224" w:rsidRDefault="00B10224" w:rsidP="000E1B7C">
      <w:pPr>
        <w:spacing w:after="0"/>
        <w:rPr>
          <w:b/>
          <w:color w:val="595959" w:themeColor="text1" w:themeTint="A6"/>
        </w:rPr>
      </w:pPr>
      <w:r w:rsidRPr="000E1B7C">
        <w:rPr>
          <w:b/>
          <w:color w:val="595959" w:themeColor="text1" w:themeTint="A6"/>
        </w:rPr>
        <w:t>Previous Year 2017-18</w:t>
      </w:r>
    </w:p>
    <w:tbl>
      <w:tblPr>
        <w:tblW w:w="8945" w:type="dxa"/>
        <w:jc w:val="center"/>
        <w:tblLayout w:type="fixed"/>
        <w:tblLook w:val="04A0" w:firstRow="1" w:lastRow="0" w:firstColumn="1" w:lastColumn="0" w:noHBand="0" w:noVBand="1"/>
      </w:tblPr>
      <w:tblGrid>
        <w:gridCol w:w="1168"/>
        <w:gridCol w:w="920"/>
        <w:gridCol w:w="1178"/>
        <w:gridCol w:w="1177"/>
        <w:gridCol w:w="1180"/>
        <w:gridCol w:w="3322"/>
      </w:tblGrid>
      <w:tr w:rsidR="006A7C8C" w:rsidRPr="00B10224" w:rsidTr="00E36DBE">
        <w:trPr>
          <w:trHeight w:val="414"/>
          <w:jc w:val="center"/>
        </w:trPr>
        <w:tc>
          <w:tcPr>
            <w:tcW w:w="1168"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6A7C8C" w:rsidRPr="00B10224" w:rsidRDefault="006A7C8C" w:rsidP="006C5452">
            <w:pPr>
              <w:spacing w:after="0" w:line="240" w:lineRule="auto"/>
              <w:rPr>
                <w:rFonts w:eastAsia="Times New Roman" w:cs="Calibri"/>
                <w:b/>
                <w:bCs/>
                <w:color w:val="FFFFFF"/>
                <w:lang w:eastAsia="en-GB"/>
              </w:rPr>
            </w:pPr>
            <w:r w:rsidRPr="00B10224">
              <w:rPr>
                <w:rFonts w:eastAsia="Times New Roman" w:cs="Calibri"/>
                <w:b/>
                <w:bCs/>
                <w:color w:val="FFFFFF"/>
                <w:lang w:eastAsia="en-GB"/>
              </w:rPr>
              <w:t> </w:t>
            </w:r>
          </w:p>
        </w:tc>
        <w:tc>
          <w:tcPr>
            <w:tcW w:w="2098" w:type="dxa"/>
            <w:gridSpan w:val="2"/>
            <w:tcBorders>
              <w:top w:val="single" w:sz="4" w:space="0" w:color="auto"/>
              <w:left w:val="nil"/>
              <w:bottom w:val="single" w:sz="4" w:space="0" w:color="auto"/>
              <w:right w:val="single" w:sz="4" w:space="0" w:color="auto"/>
            </w:tcBorders>
            <w:shd w:val="clear" w:color="auto" w:fill="5B9BD5" w:themeFill="accent1"/>
            <w:noWrap/>
            <w:vAlign w:val="center"/>
            <w:hideMark/>
          </w:tcPr>
          <w:p w:rsidR="006A7C8C" w:rsidRPr="00B10224" w:rsidRDefault="006A7C8C" w:rsidP="006C5452">
            <w:pPr>
              <w:spacing w:after="0" w:line="240" w:lineRule="auto"/>
              <w:jc w:val="center"/>
              <w:rPr>
                <w:rFonts w:eastAsia="Times New Roman" w:cs="Calibri"/>
                <w:b/>
                <w:bCs/>
                <w:color w:val="FFFFFF"/>
                <w:lang w:eastAsia="en-GB"/>
              </w:rPr>
            </w:pPr>
            <w:r w:rsidRPr="00B10224">
              <w:rPr>
                <w:rFonts w:eastAsia="Times New Roman" w:cs="Calibri"/>
                <w:b/>
                <w:bCs/>
                <w:color w:val="FFFFFF"/>
                <w:lang w:eastAsia="en-GB"/>
              </w:rPr>
              <w:t>Board Member</w:t>
            </w:r>
          </w:p>
        </w:tc>
        <w:tc>
          <w:tcPr>
            <w:tcW w:w="2357" w:type="dxa"/>
            <w:gridSpan w:val="2"/>
            <w:tcBorders>
              <w:top w:val="single" w:sz="4" w:space="0" w:color="auto"/>
              <w:left w:val="nil"/>
              <w:bottom w:val="single" w:sz="4" w:space="0" w:color="auto"/>
              <w:right w:val="single" w:sz="4" w:space="0" w:color="auto"/>
            </w:tcBorders>
            <w:shd w:val="clear" w:color="auto" w:fill="5B9BD5" w:themeFill="accent1"/>
            <w:noWrap/>
            <w:vAlign w:val="center"/>
            <w:hideMark/>
          </w:tcPr>
          <w:p w:rsidR="006A7C8C" w:rsidRPr="00B10224" w:rsidRDefault="006A7C8C" w:rsidP="006C5452">
            <w:pPr>
              <w:spacing w:after="0" w:line="240" w:lineRule="auto"/>
              <w:jc w:val="center"/>
              <w:rPr>
                <w:rFonts w:eastAsia="Times New Roman" w:cs="Calibri"/>
                <w:b/>
                <w:bCs/>
                <w:color w:val="FFFFFF"/>
                <w:lang w:eastAsia="en-GB"/>
              </w:rPr>
            </w:pPr>
            <w:r w:rsidRPr="00B10224">
              <w:rPr>
                <w:rFonts w:eastAsia="Times New Roman" w:cs="Calibri"/>
                <w:b/>
                <w:bCs/>
                <w:color w:val="FFFFFF"/>
                <w:lang w:eastAsia="en-GB"/>
              </w:rPr>
              <w:t>Overall Workforce</w:t>
            </w:r>
          </w:p>
        </w:tc>
        <w:tc>
          <w:tcPr>
            <w:tcW w:w="3322" w:type="dxa"/>
            <w:tcBorders>
              <w:top w:val="single" w:sz="4" w:space="0" w:color="auto"/>
              <w:left w:val="nil"/>
              <w:bottom w:val="single" w:sz="4" w:space="0" w:color="auto"/>
              <w:right w:val="single" w:sz="4" w:space="0" w:color="auto"/>
            </w:tcBorders>
            <w:shd w:val="clear" w:color="auto" w:fill="5B9BD5" w:themeFill="accent1"/>
          </w:tcPr>
          <w:p w:rsidR="006A7C8C" w:rsidRPr="00B10224" w:rsidRDefault="006A7C8C" w:rsidP="006C5452">
            <w:pPr>
              <w:spacing w:after="0" w:line="240" w:lineRule="auto"/>
              <w:rPr>
                <w:rFonts w:eastAsia="Times New Roman" w:cs="Calibri"/>
                <w:b/>
                <w:bCs/>
                <w:color w:val="FFFFFF"/>
                <w:lang w:eastAsia="en-GB"/>
              </w:rPr>
            </w:pPr>
            <w:r w:rsidRPr="006A7C8C">
              <w:rPr>
                <w:rFonts w:eastAsia="Times New Roman" w:cs="Calibri"/>
                <w:b/>
                <w:bCs/>
                <w:color w:val="FFFFFF"/>
                <w:lang w:eastAsia="en-GB"/>
              </w:rPr>
              <w:t>Percentage difference between the organisation board voting membership and its overall workforce</w:t>
            </w:r>
          </w:p>
        </w:tc>
      </w:tr>
      <w:tr w:rsidR="00E36DBE" w:rsidRPr="00B10224" w:rsidTr="00E36DBE">
        <w:trPr>
          <w:trHeight w:val="411"/>
          <w:jc w:val="center"/>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6A7C8C" w:rsidRPr="00B10224" w:rsidRDefault="006A7C8C" w:rsidP="006C5452">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White</w:t>
            </w:r>
          </w:p>
        </w:tc>
        <w:tc>
          <w:tcPr>
            <w:tcW w:w="920"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lang w:eastAsia="en-GB"/>
              </w:rPr>
            </w:pPr>
            <w:r w:rsidRPr="00B10224">
              <w:rPr>
                <w:lang w:eastAsia="en-GB"/>
              </w:rPr>
              <w:t>12</w:t>
            </w:r>
          </w:p>
        </w:tc>
        <w:tc>
          <w:tcPr>
            <w:tcW w:w="1177"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rFonts w:cs="Calibri"/>
                <w:color w:val="000000"/>
                <w:lang w:eastAsia="en-GB"/>
              </w:rPr>
            </w:pPr>
            <w:r>
              <w:rPr>
                <w:rFonts w:cs="Calibri"/>
                <w:color w:val="000000"/>
                <w:lang w:eastAsia="en-GB"/>
              </w:rPr>
              <w:t>85.71</w:t>
            </w:r>
            <w:r w:rsidRPr="00B10224">
              <w:rPr>
                <w:rFonts w:cs="Calibri"/>
                <w:color w:val="000000"/>
                <w:lang w:eastAsia="en-GB"/>
              </w:rPr>
              <w:t>%</w:t>
            </w:r>
          </w:p>
        </w:tc>
        <w:tc>
          <w:tcPr>
            <w:tcW w:w="1177"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lang w:eastAsia="en-GB"/>
              </w:rPr>
            </w:pPr>
            <w:r>
              <w:rPr>
                <w:lang w:eastAsia="en-GB"/>
              </w:rPr>
              <w:t>3258</w:t>
            </w:r>
          </w:p>
        </w:tc>
        <w:tc>
          <w:tcPr>
            <w:tcW w:w="1179" w:type="dxa"/>
            <w:tcBorders>
              <w:top w:val="nil"/>
              <w:left w:val="nil"/>
              <w:bottom w:val="single" w:sz="4" w:space="0" w:color="auto"/>
              <w:right w:val="single" w:sz="4" w:space="0" w:color="auto"/>
            </w:tcBorders>
            <w:shd w:val="clear" w:color="auto" w:fill="auto"/>
            <w:noWrap/>
            <w:vAlign w:val="center"/>
          </w:tcPr>
          <w:p w:rsidR="006A7C8C" w:rsidRPr="00B10224" w:rsidRDefault="006A7C8C" w:rsidP="0076347B">
            <w:pPr>
              <w:pStyle w:val="NoSpacing"/>
              <w:jc w:val="center"/>
              <w:rPr>
                <w:rFonts w:cs="Calibri"/>
                <w:color w:val="000000"/>
                <w:lang w:eastAsia="en-GB"/>
              </w:rPr>
            </w:pPr>
            <w:r>
              <w:rPr>
                <w:rFonts w:cs="Calibri"/>
                <w:color w:val="000000"/>
                <w:lang w:eastAsia="en-GB"/>
              </w:rPr>
              <w:t>93.</w:t>
            </w:r>
            <w:r w:rsidR="006C5452">
              <w:rPr>
                <w:rFonts w:cs="Calibri"/>
                <w:color w:val="000000"/>
                <w:lang w:eastAsia="en-GB"/>
              </w:rPr>
              <w:t>7</w:t>
            </w:r>
            <w:r w:rsidR="0076347B">
              <w:rPr>
                <w:rFonts w:cs="Calibri"/>
                <w:color w:val="000000"/>
                <w:lang w:eastAsia="en-GB"/>
              </w:rPr>
              <w:t>6</w:t>
            </w:r>
            <w:r>
              <w:rPr>
                <w:rFonts w:cs="Calibri"/>
                <w:color w:val="000000"/>
                <w:lang w:eastAsia="en-GB"/>
              </w:rPr>
              <w:t>%</w:t>
            </w:r>
          </w:p>
        </w:tc>
        <w:tc>
          <w:tcPr>
            <w:tcW w:w="3322" w:type="dxa"/>
            <w:tcBorders>
              <w:top w:val="nil"/>
              <w:left w:val="nil"/>
              <w:bottom w:val="single" w:sz="4" w:space="0" w:color="auto"/>
              <w:right w:val="single" w:sz="4" w:space="0" w:color="auto"/>
            </w:tcBorders>
            <w:vAlign w:val="center"/>
          </w:tcPr>
          <w:p w:rsidR="006A7C8C" w:rsidRDefault="0076347B" w:rsidP="0076347B">
            <w:pPr>
              <w:pStyle w:val="NoSpacing"/>
              <w:jc w:val="center"/>
              <w:rPr>
                <w:rFonts w:cs="Calibri"/>
                <w:color w:val="000000"/>
                <w:lang w:eastAsia="en-GB"/>
              </w:rPr>
            </w:pPr>
            <w:r>
              <w:rPr>
                <w:rFonts w:cs="Calibri"/>
                <w:color w:val="000000"/>
                <w:lang w:eastAsia="en-GB"/>
              </w:rPr>
              <w:t>-8.04</w:t>
            </w:r>
            <w:r w:rsidR="00E36DBE">
              <w:rPr>
                <w:rFonts w:cs="Calibri"/>
                <w:color w:val="000000"/>
                <w:lang w:eastAsia="en-GB"/>
              </w:rPr>
              <w:t>%</w:t>
            </w:r>
          </w:p>
        </w:tc>
      </w:tr>
      <w:tr w:rsidR="00E36DBE" w:rsidRPr="00B10224" w:rsidTr="00E36DBE">
        <w:trPr>
          <w:trHeight w:val="411"/>
          <w:jc w:val="center"/>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6A7C8C" w:rsidRPr="00B10224" w:rsidRDefault="006A7C8C" w:rsidP="006C54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BME</w:t>
            </w:r>
          </w:p>
        </w:tc>
        <w:tc>
          <w:tcPr>
            <w:tcW w:w="920"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lang w:eastAsia="en-GB"/>
              </w:rPr>
            </w:pPr>
            <w:r w:rsidRPr="00B10224">
              <w:rPr>
                <w:lang w:eastAsia="en-GB"/>
              </w:rPr>
              <w:t>1</w:t>
            </w:r>
          </w:p>
        </w:tc>
        <w:tc>
          <w:tcPr>
            <w:tcW w:w="1177"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rFonts w:cs="Calibri"/>
                <w:color w:val="000000"/>
                <w:lang w:eastAsia="en-GB"/>
              </w:rPr>
            </w:pPr>
            <w:r>
              <w:rPr>
                <w:rFonts w:cs="Calibri"/>
                <w:color w:val="000000"/>
                <w:lang w:eastAsia="en-GB"/>
              </w:rPr>
              <w:t>7.14</w:t>
            </w:r>
            <w:r w:rsidRPr="00B10224">
              <w:rPr>
                <w:rFonts w:cs="Calibri"/>
                <w:color w:val="000000"/>
                <w:lang w:eastAsia="en-GB"/>
              </w:rPr>
              <w:t>%</w:t>
            </w:r>
          </w:p>
        </w:tc>
        <w:tc>
          <w:tcPr>
            <w:tcW w:w="1177" w:type="dxa"/>
            <w:tcBorders>
              <w:top w:val="nil"/>
              <w:left w:val="nil"/>
              <w:bottom w:val="single" w:sz="4" w:space="0" w:color="auto"/>
              <w:right w:val="single" w:sz="4" w:space="0" w:color="auto"/>
            </w:tcBorders>
            <w:shd w:val="clear" w:color="auto" w:fill="auto"/>
            <w:noWrap/>
            <w:vAlign w:val="center"/>
            <w:hideMark/>
          </w:tcPr>
          <w:p w:rsidR="006A7C8C" w:rsidRPr="00B10224" w:rsidRDefault="006C5452" w:rsidP="006C5452">
            <w:pPr>
              <w:pStyle w:val="NoSpacing"/>
              <w:jc w:val="center"/>
              <w:rPr>
                <w:lang w:eastAsia="en-GB"/>
              </w:rPr>
            </w:pPr>
            <w:r>
              <w:rPr>
                <w:lang w:eastAsia="en-GB"/>
              </w:rPr>
              <w:t>1</w:t>
            </w:r>
            <w:r w:rsidR="006A7C8C">
              <w:rPr>
                <w:lang w:eastAsia="en-GB"/>
              </w:rPr>
              <w:t>4</w:t>
            </w:r>
            <w:r>
              <w:rPr>
                <w:lang w:eastAsia="en-GB"/>
              </w:rPr>
              <w:t>0</w:t>
            </w:r>
          </w:p>
        </w:tc>
        <w:tc>
          <w:tcPr>
            <w:tcW w:w="1179" w:type="dxa"/>
            <w:tcBorders>
              <w:top w:val="nil"/>
              <w:left w:val="nil"/>
              <w:bottom w:val="single" w:sz="4" w:space="0" w:color="auto"/>
              <w:right w:val="single" w:sz="4" w:space="0" w:color="auto"/>
            </w:tcBorders>
            <w:shd w:val="clear" w:color="auto" w:fill="auto"/>
            <w:noWrap/>
            <w:vAlign w:val="center"/>
          </w:tcPr>
          <w:p w:rsidR="006A7C8C" w:rsidRPr="00B10224" w:rsidRDefault="006A7C8C" w:rsidP="006C5452">
            <w:pPr>
              <w:pStyle w:val="NoSpacing"/>
              <w:jc w:val="center"/>
              <w:rPr>
                <w:rFonts w:cs="Calibri"/>
                <w:color w:val="000000"/>
                <w:lang w:eastAsia="en-GB"/>
              </w:rPr>
            </w:pPr>
            <w:r>
              <w:rPr>
                <w:rFonts w:cs="Calibri"/>
                <w:color w:val="000000"/>
                <w:lang w:eastAsia="en-GB"/>
              </w:rPr>
              <w:t>4.</w:t>
            </w:r>
            <w:r w:rsidR="006C5452">
              <w:rPr>
                <w:rFonts w:cs="Calibri"/>
                <w:color w:val="000000"/>
                <w:lang w:eastAsia="en-GB"/>
              </w:rPr>
              <w:t>03</w:t>
            </w:r>
            <w:r>
              <w:rPr>
                <w:rFonts w:cs="Calibri"/>
                <w:color w:val="000000"/>
                <w:lang w:eastAsia="en-GB"/>
              </w:rPr>
              <w:t>%</w:t>
            </w:r>
          </w:p>
        </w:tc>
        <w:tc>
          <w:tcPr>
            <w:tcW w:w="3322" w:type="dxa"/>
            <w:tcBorders>
              <w:top w:val="nil"/>
              <w:left w:val="nil"/>
              <w:bottom w:val="single" w:sz="4" w:space="0" w:color="auto"/>
              <w:right w:val="single" w:sz="4" w:space="0" w:color="auto"/>
            </w:tcBorders>
            <w:vAlign w:val="center"/>
          </w:tcPr>
          <w:p w:rsidR="006A7C8C" w:rsidRDefault="0076347B" w:rsidP="006C5452">
            <w:pPr>
              <w:pStyle w:val="NoSpacing"/>
              <w:jc w:val="center"/>
              <w:rPr>
                <w:rFonts w:cs="Calibri"/>
                <w:color w:val="000000"/>
                <w:lang w:eastAsia="en-GB"/>
              </w:rPr>
            </w:pPr>
            <w:r>
              <w:rPr>
                <w:rFonts w:cs="Calibri"/>
                <w:color w:val="000000"/>
                <w:lang w:eastAsia="en-GB"/>
              </w:rPr>
              <w:t>3.11</w:t>
            </w:r>
            <w:r w:rsidR="00E36DBE">
              <w:rPr>
                <w:rFonts w:cs="Calibri"/>
                <w:color w:val="000000"/>
                <w:lang w:eastAsia="en-GB"/>
              </w:rPr>
              <w:t>%</w:t>
            </w:r>
          </w:p>
        </w:tc>
      </w:tr>
      <w:tr w:rsidR="00E36DBE" w:rsidRPr="00B10224" w:rsidTr="00E36DBE">
        <w:trPr>
          <w:trHeight w:val="411"/>
          <w:jc w:val="center"/>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6A7C8C" w:rsidRPr="00B10224" w:rsidRDefault="006A7C8C" w:rsidP="006C5452">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Not Stated</w:t>
            </w:r>
          </w:p>
        </w:tc>
        <w:tc>
          <w:tcPr>
            <w:tcW w:w="920"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lang w:eastAsia="en-GB"/>
              </w:rPr>
            </w:pPr>
            <w:r>
              <w:rPr>
                <w:lang w:eastAsia="en-GB"/>
              </w:rPr>
              <w:t>1</w:t>
            </w:r>
          </w:p>
        </w:tc>
        <w:tc>
          <w:tcPr>
            <w:tcW w:w="1177" w:type="dxa"/>
            <w:tcBorders>
              <w:top w:val="nil"/>
              <w:left w:val="nil"/>
              <w:bottom w:val="single" w:sz="4" w:space="0" w:color="auto"/>
              <w:right w:val="single" w:sz="4" w:space="0" w:color="auto"/>
            </w:tcBorders>
            <w:shd w:val="clear" w:color="auto" w:fill="auto"/>
            <w:noWrap/>
            <w:vAlign w:val="center"/>
            <w:hideMark/>
          </w:tcPr>
          <w:p w:rsidR="006A7C8C" w:rsidRPr="00B10224" w:rsidRDefault="006A7C8C" w:rsidP="006C5452">
            <w:pPr>
              <w:pStyle w:val="NoSpacing"/>
              <w:jc w:val="center"/>
              <w:rPr>
                <w:rFonts w:cs="Calibri"/>
                <w:color w:val="000000"/>
                <w:lang w:eastAsia="en-GB"/>
              </w:rPr>
            </w:pPr>
            <w:r>
              <w:rPr>
                <w:rFonts w:cs="Calibri"/>
                <w:color w:val="000000"/>
                <w:lang w:eastAsia="en-GB"/>
              </w:rPr>
              <w:t>7.14</w:t>
            </w:r>
            <w:r w:rsidRPr="00B10224">
              <w:rPr>
                <w:rFonts w:cs="Calibri"/>
                <w:color w:val="000000"/>
                <w:lang w:eastAsia="en-GB"/>
              </w:rPr>
              <w:t>%</w:t>
            </w:r>
          </w:p>
        </w:tc>
        <w:tc>
          <w:tcPr>
            <w:tcW w:w="1177" w:type="dxa"/>
            <w:tcBorders>
              <w:top w:val="nil"/>
              <w:left w:val="nil"/>
              <w:bottom w:val="single" w:sz="4" w:space="0" w:color="auto"/>
              <w:right w:val="single" w:sz="4" w:space="0" w:color="auto"/>
            </w:tcBorders>
            <w:shd w:val="clear" w:color="000000" w:fill="FFFFFF"/>
            <w:noWrap/>
            <w:vAlign w:val="center"/>
            <w:hideMark/>
          </w:tcPr>
          <w:p w:rsidR="006A7C8C" w:rsidRPr="00B10224" w:rsidRDefault="006A7C8C" w:rsidP="006C5452">
            <w:pPr>
              <w:pStyle w:val="NoSpacing"/>
              <w:jc w:val="center"/>
              <w:rPr>
                <w:lang w:eastAsia="en-GB"/>
              </w:rPr>
            </w:pPr>
            <w:r>
              <w:rPr>
                <w:lang w:eastAsia="en-GB"/>
              </w:rPr>
              <w:t>77</w:t>
            </w:r>
          </w:p>
        </w:tc>
        <w:tc>
          <w:tcPr>
            <w:tcW w:w="1179" w:type="dxa"/>
            <w:tcBorders>
              <w:top w:val="nil"/>
              <w:left w:val="nil"/>
              <w:bottom w:val="single" w:sz="4" w:space="0" w:color="auto"/>
              <w:right w:val="single" w:sz="4" w:space="0" w:color="auto"/>
            </w:tcBorders>
            <w:shd w:val="clear" w:color="auto" w:fill="auto"/>
            <w:noWrap/>
            <w:vAlign w:val="center"/>
          </w:tcPr>
          <w:p w:rsidR="006A7C8C" w:rsidRPr="00B10224" w:rsidRDefault="0076347B" w:rsidP="006C5452">
            <w:pPr>
              <w:pStyle w:val="NoSpacing"/>
              <w:jc w:val="center"/>
              <w:rPr>
                <w:rFonts w:cs="Calibri"/>
                <w:color w:val="000000"/>
                <w:lang w:eastAsia="en-GB"/>
              </w:rPr>
            </w:pPr>
            <w:r>
              <w:rPr>
                <w:rFonts w:cs="Calibri"/>
                <w:color w:val="000000"/>
                <w:lang w:eastAsia="en-GB"/>
              </w:rPr>
              <w:t>2.22</w:t>
            </w:r>
            <w:r w:rsidR="006A7C8C">
              <w:rPr>
                <w:rFonts w:cs="Calibri"/>
                <w:color w:val="000000"/>
                <w:lang w:eastAsia="en-GB"/>
              </w:rPr>
              <w:t>%</w:t>
            </w:r>
          </w:p>
        </w:tc>
        <w:tc>
          <w:tcPr>
            <w:tcW w:w="3322" w:type="dxa"/>
            <w:tcBorders>
              <w:top w:val="nil"/>
              <w:left w:val="nil"/>
              <w:bottom w:val="single" w:sz="4" w:space="0" w:color="auto"/>
              <w:right w:val="single" w:sz="4" w:space="0" w:color="auto"/>
            </w:tcBorders>
            <w:vAlign w:val="center"/>
          </w:tcPr>
          <w:p w:rsidR="006A7C8C" w:rsidRDefault="0076347B" w:rsidP="006C5452">
            <w:pPr>
              <w:pStyle w:val="NoSpacing"/>
              <w:jc w:val="center"/>
              <w:rPr>
                <w:rFonts w:cs="Calibri"/>
                <w:color w:val="000000"/>
                <w:lang w:eastAsia="en-GB"/>
              </w:rPr>
            </w:pPr>
            <w:r>
              <w:rPr>
                <w:rFonts w:cs="Calibri"/>
                <w:color w:val="000000"/>
                <w:lang w:eastAsia="en-GB"/>
              </w:rPr>
              <w:t>4.93</w:t>
            </w:r>
            <w:r w:rsidR="00E36DBE">
              <w:rPr>
                <w:rFonts w:cs="Calibri"/>
                <w:color w:val="000000"/>
                <w:lang w:eastAsia="en-GB"/>
              </w:rPr>
              <w:t>%</w:t>
            </w:r>
          </w:p>
        </w:tc>
      </w:tr>
    </w:tbl>
    <w:p w:rsidR="006A7C8C" w:rsidRPr="000E1B7C" w:rsidRDefault="006A7C8C" w:rsidP="000E1B7C">
      <w:pPr>
        <w:spacing w:after="0"/>
        <w:rPr>
          <w:b/>
          <w:color w:val="595959" w:themeColor="text1" w:themeTint="A6"/>
        </w:rPr>
      </w:pPr>
    </w:p>
    <w:p w:rsidR="00B10224" w:rsidRDefault="00E36DBE" w:rsidP="00B10224">
      <w:r>
        <w:t>As at March 2018, t</w:t>
      </w:r>
      <w:r w:rsidR="00851B5D">
        <w:t>he T</w:t>
      </w:r>
      <w:r w:rsidR="00B10224">
        <w:t>rust</w:t>
      </w:r>
      <w:r w:rsidR="00851B5D">
        <w:t>’s B</w:t>
      </w:r>
      <w:r w:rsidR="00B10224">
        <w:t xml:space="preserve">oard </w:t>
      </w:r>
      <w:r w:rsidR="00851B5D">
        <w:t>was</w:t>
      </w:r>
      <w:r w:rsidR="00B10224">
        <w:t xml:space="preserve"> made up of 7.14% of </w:t>
      </w:r>
      <w:r w:rsidR="00EC4447">
        <w:t>BME</w:t>
      </w:r>
      <w:r w:rsidR="00B10224">
        <w:t xml:space="preserve"> staff compared with </w:t>
      </w:r>
      <w:r w:rsidR="0076347B">
        <w:t>4.03</w:t>
      </w:r>
      <w:r w:rsidR="00B10224">
        <w:t>% of the overall trust</w:t>
      </w:r>
      <w:r>
        <w:t xml:space="preserve">. A difference of </w:t>
      </w:r>
      <w:r w:rsidR="0076347B">
        <w:t>3.11</w:t>
      </w:r>
      <w:r>
        <w:t>%</w:t>
      </w:r>
    </w:p>
    <w:sectPr w:rsidR="00B10224" w:rsidSect="000E1B7C">
      <w:headerReference w:type="first" r:id="rId17"/>
      <w:pgSz w:w="11906" w:h="16838"/>
      <w:pgMar w:top="1021" w:right="1440" w:bottom="1021" w:left="1440" w:header="567" w:footer="15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8BF" w:rsidRDefault="00F718BF" w:rsidP="00875597">
      <w:pPr>
        <w:spacing w:after="0" w:line="240" w:lineRule="auto"/>
      </w:pPr>
      <w:r>
        <w:separator/>
      </w:r>
    </w:p>
  </w:endnote>
  <w:endnote w:type="continuationSeparator" w:id="0">
    <w:p w:rsidR="00F718BF" w:rsidRDefault="00F718BF" w:rsidP="0087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BF" w:rsidRDefault="00F718BF">
    <w:pPr>
      <w:pStyle w:val="Footer"/>
    </w:pPr>
    <w:r>
      <w:rPr>
        <w:noProof/>
        <w:lang w:eastAsia="en-GB"/>
      </w:rPr>
      <w:drawing>
        <wp:anchor distT="0" distB="0" distL="114300" distR="114300" simplePos="0" relativeHeight="251658752" behindDoc="1" locked="0" layoutInCell="1" allowOverlap="1">
          <wp:simplePos x="0" y="0"/>
          <wp:positionH relativeFrom="column">
            <wp:posOffset>-762000</wp:posOffset>
          </wp:positionH>
          <wp:positionV relativeFrom="page">
            <wp:posOffset>9448800</wp:posOffset>
          </wp:positionV>
          <wp:extent cx="7559040" cy="1395730"/>
          <wp:effectExtent l="0" t="0" r="0" b="0"/>
          <wp:wrapSquare wrapText="bothSides"/>
          <wp:docPr id="4" name="Picture 29" descr="GoogleDrive:My Drive:Hitch Drive:Clients:Studio:c:CWP:_DW:CWP-ASSETS:_LETTERHEAD:NEW:Generic_No C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gleDrive:My Drive:Hitch Drive:Clients:Studio:c:CWP:_DW:CWP-ASSETS:_LETTERHEAD:NEW:Generic_No C2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BF" w:rsidRDefault="00F718BF">
    <w:pPr>
      <w:pStyle w:val="Footer"/>
    </w:pPr>
    <w:r>
      <w:rPr>
        <w:noProof/>
        <w:lang w:eastAsia="en-GB"/>
      </w:rPr>
      <w:drawing>
        <wp:anchor distT="0" distB="0" distL="114300" distR="114300" simplePos="0" relativeHeight="251657728" behindDoc="1" locked="0" layoutInCell="1" allowOverlap="1">
          <wp:simplePos x="0" y="0"/>
          <wp:positionH relativeFrom="column">
            <wp:posOffset>-1009650</wp:posOffset>
          </wp:positionH>
          <wp:positionV relativeFrom="page">
            <wp:posOffset>9348470</wp:posOffset>
          </wp:positionV>
          <wp:extent cx="7559040" cy="1395730"/>
          <wp:effectExtent l="0" t="0" r="0" b="0"/>
          <wp:wrapSquare wrapText="bothSides"/>
          <wp:docPr id="3" name="Picture 29" descr="GoogleDrive:My Drive:Hitch Drive:Clients:Studio:c:CWP:_DW:CWP-ASSETS:_LETTERHEAD:NEW:Generic_No C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gleDrive:My Drive:Hitch Drive:Clients:Studio:c:CWP:_DW:CWP-ASSETS:_LETTERHEAD:NEW:Generic_No C2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8BF" w:rsidRDefault="00F718BF" w:rsidP="00875597">
      <w:pPr>
        <w:spacing w:after="0" w:line="240" w:lineRule="auto"/>
      </w:pPr>
      <w:r>
        <w:separator/>
      </w:r>
    </w:p>
  </w:footnote>
  <w:footnote w:type="continuationSeparator" w:id="0">
    <w:p w:rsidR="00F718BF" w:rsidRDefault="00F718BF" w:rsidP="00875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BF" w:rsidRDefault="00F718BF">
    <w:pPr>
      <w:pStyle w:val="Header"/>
    </w:pPr>
    <w:r>
      <w:rPr>
        <w:noProof/>
        <w:lang w:eastAsia="en-GB"/>
      </w:rPr>
      <w:drawing>
        <wp:anchor distT="0" distB="0" distL="114300" distR="114300" simplePos="0" relativeHeight="251656704" behindDoc="1" locked="0" layoutInCell="1" allowOverlap="1">
          <wp:simplePos x="0" y="0"/>
          <wp:positionH relativeFrom="page">
            <wp:posOffset>-4445</wp:posOffset>
          </wp:positionH>
          <wp:positionV relativeFrom="page">
            <wp:posOffset>0</wp:posOffset>
          </wp:positionV>
          <wp:extent cx="7559040" cy="1444625"/>
          <wp:effectExtent l="0" t="0" r="0" b="0"/>
          <wp:wrapNone/>
          <wp:docPr id="2" name="Picture 6" descr="GoogleDrive:My Drive:Hitch Drive:Clients:Studio:c:CWP:_DW:CWP-ASSETS:_LETTERHEAD:NEW:Generic_No C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Drive:My Drive:Hitch Drive:Clients:Studio:c:CWP:_DW:CWP-ASSETS:_LETTERHEAD:NEW:Generic_No C2_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BF" w:rsidRPr="00DF465E" w:rsidRDefault="00F718BF" w:rsidP="00DF4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B2E24"/>
    <w:multiLevelType w:val="hybridMultilevel"/>
    <w:tmpl w:val="EFD2FC94"/>
    <w:lvl w:ilvl="0" w:tplc="70C0ECAA">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597"/>
    <w:rsid w:val="000503D3"/>
    <w:rsid w:val="000E1B7C"/>
    <w:rsid w:val="000F7A3A"/>
    <w:rsid w:val="00205D05"/>
    <w:rsid w:val="00286974"/>
    <w:rsid w:val="002B39AF"/>
    <w:rsid w:val="002B4D72"/>
    <w:rsid w:val="00397167"/>
    <w:rsid w:val="003B728C"/>
    <w:rsid w:val="003D7BBB"/>
    <w:rsid w:val="004332DF"/>
    <w:rsid w:val="0052029F"/>
    <w:rsid w:val="00520875"/>
    <w:rsid w:val="00602EFD"/>
    <w:rsid w:val="006844B5"/>
    <w:rsid w:val="006A7C8C"/>
    <w:rsid w:val="006C5452"/>
    <w:rsid w:val="006E19DC"/>
    <w:rsid w:val="0076347B"/>
    <w:rsid w:val="007C606E"/>
    <w:rsid w:val="0082044B"/>
    <w:rsid w:val="00851B5D"/>
    <w:rsid w:val="00875597"/>
    <w:rsid w:val="00886D2E"/>
    <w:rsid w:val="00953734"/>
    <w:rsid w:val="00B10224"/>
    <w:rsid w:val="00BE3EC9"/>
    <w:rsid w:val="00DB1512"/>
    <w:rsid w:val="00DE473D"/>
    <w:rsid w:val="00DF465E"/>
    <w:rsid w:val="00E36DBE"/>
    <w:rsid w:val="00EA0076"/>
    <w:rsid w:val="00EB3D21"/>
    <w:rsid w:val="00EC4447"/>
    <w:rsid w:val="00F306E8"/>
    <w:rsid w:val="00F71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D7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7BB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2B39AF"/>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597"/>
    <w:pPr>
      <w:tabs>
        <w:tab w:val="center" w:pos="4513"/>
        <w:tab w:val="right" w:pos="9026"/>
      </w:tabs>
    </w:pPr>
  </w:style>
  <w:style w:type="character" w:customStyle="1" w:styleId="HeaderChar">
    <w:name w:val="Header Char"/>
    <w:link w:val="Header"/>
    <w:uiPriority w:val="99"/>
    <w:rsid w:val="00875597"/>
    <w:rPr>
      <w:sz w:val="22"/>
      <w:szCs w:val="22"/>
      <w:lang w:eastAsia="en-US"/>
    </w:rPr>
  </w:style>
  <w:style w:type="paragraph" w:styleId="Footer">
    <w:name w:val="footer"/>
    <w:basedOn w:val="Normal"/>
    <w:link w:val="FooterChar"/>
    <w:uiPriority w:val="99"/>
    <w:unhideWhenUsed/>
    <w:rsid w:val="00875597"/>
    <w:pPr>
      <w:tabs>
        <w:tab w:val="center" w:pos="4513"/>
        <w:tab w:val="right" w:pos="9026"/>
      </w:tabs>
    </w:pPr>
  </w:style>
  <w:style w:type="character" w:customStyle="1" w:styleId="FooterChar">
    <w:name w:val="Footer Char"/>
    <w:link w:val="Footer"/>
    <w:uiPriority w:val="99"/>
    <w:rsid w:val="00875597"/>
    <w:rPr>
      <w:sz w:val="22"/>
      <w:szCs w:val="22"/>
      <w:lang w:eastAsia="en-US"/>
    </w:rPr>
  </w:style>
  <w:style w:type="character" w:customStyle="1" w:styleId="Heading2Char">
    <w:name w:val="Heading 2 Char"/>
    <w:basedOn w:val="DefaultParagraphFont"/>
    <w:link w:val="Heading2"/>
    <w:uiPriority w:val="9"/>
    <w:rsid w:val="003D7BBB"/>
    <w:rPr>
      <w:rFonts w:asciiTheme="majorHAnsi" w:eastAsiaTheme="majorEastAsia" w:hAnsiTheme="majorHAnsi" w:cstheme="majorBidi"/>
      <w:b/>
      <w:color w:val="2E74B5" w:themeColor="accent1" w:themeShade="BF"/>
      <w:sz w:val="26"/>
      <w:szCs w:val="26"/>
      <w:lang w:eastAsia="en-US"/>
    </w:rPr>
  </w:style>
  <w:style w:type="character" w:customStyle="1" w:styleId="Heading3Char">
    <w:name w:val="Heading 3 Char"/>
    <w:basedOn w:val="DefaultParagraphFont"/>
    <w:link w:val="Heading3"/>
    <w:uiPriority w:val="9"/>
    <w:rsid w:val="002B39AF"/>
    <w:rPr>
      <w:rFonts w:asciiTheme="majorHAnsi" w:eastAsiaTheme="majorEastAsia" w:hAnsiTheme="majorHAnsi" w:cstheme="majorBidi"/>
      <w:b/>
      <w:sz w:val="24"/>
      <w:szCs w:val="24"/>
      <w:lang w:eastAsia="en-US"/>
    </w:rPr>
  </w:style>
  <w:style w:type="paragraph" w:styleId="ListParagraph">
    <w:name w:val="List Paragraph"/>
    <w:basedOn w:val="Normal"/>
    <w:uiPriority w:val="34"/>
    <w:qFormat/>
    <w:rsid w:val="00DF465E"/>
    <w:pPr>
      <w:ind w:left="720"/>
      <w:contextualSpacing/>
    </w:pPr>
  </w:style>
  <w:style w:type="paragraph" w:styleId="BalloonText">
    <w:name w:val="Balloon Text"/>
    <w:basedOn w:val="Normal"/>
    <w:link w:val="BalloonTextChar"/>
    <w:uiPriority w:val="99"/>
    <w:semiHidden/>
    <w:unhideWhenUsed/>
    <w:rsid w:val="00EC4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47"/>
    <w:rPr>
      <w:rFonts w:ascii="Segoe UI" w:hAnsi="Segoe UI" w:cs="Segoe UI"/>
      <w:sz w:val="18"/>
      <w:szCs w:val="18"/>
      <w:lang w:eastAsia="en-US"/>
    </w:rPr>
  </w:style>
  <w:style w:type="character" w:customStyle="1" w:styleId="Heading1Char">
    <w:name w:val="Heading 1 Char"/>
    <w:basedOn w:val="DefaultParagraphFont"/>
    <w:link w:val="Heading1"/>
    <w:uiPriority w:val="9"/>
    <w:rsid w:val="003D7BBB"/>
    <w:rPr>
      <w:rFonts w:asciiTheme="majorHAnsi" w:eastAsiaTheme="majorEastAsia" w:hAnsiTheme="majorHAnsi" w:cstheme="majorBidi"/>
      <w:color w:val="2E74B5" w:themeColor="accent1" w:themeShade="BF"/>
      <w:sz w:val="32"/>
      <w:szCs w:val="32"/>
      <w:lang w:eastAsia="en-US"/>
    </w:rPr>
  </w:style>
  <w:style w:type="paragraph" w:styleId="NoSpacing">
    <w:name w:val="No Spacing"/>
    <w:uiPriority w:val="1"/>
    <w:qFormat/>
    <w:rsid w:val="002B39AF"/>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D7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7BB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2B39AF"/>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597"/>
    <w:pPr>
      <w:tabs>
        <w:tab w:val="center" w:pos="4513"/>
        <w:tab w:val="right" w:pos="9026"/>
      </w:tabs>
    </w:pPr>
  </w:style>
  <w:style w:type="character" w:customStyle="1" w:styleId="HeaderChar">
    <w:name w:val="Header Char"/>
    <w:link w:val="Header"/>
    <w:uiPriority w:val="99"/>
    <w:rsid w:val="00875597"/>
    <w:rPr>
      <w:sz w:val="22"/>
      <w:szCs w:val="22"/>
      <w:lang w:eastAsia="en-US"/>
    </w:rPr>
  </w:style>
  <w:style w:type="paragraph" w:styleId="Footer">
    <w:name w:val="footer"/>
    <w:basedOn w:val="Normal"/>
    <w:link w:val="FooterChar"/>
    <w:uiPriority w:val="99"/>
    <w:unhideWhenUsed/>
    <w:rsid w:val="00875597"/>
    <w:pPr>
      <w:tabs>
        <w:tab w:val="center" w:pos="4513"/>
        <w:tab w:val="right" w:pos="9026"/>
      </w:tabs>
    </w:pPr>
  </w:style>
  <w:style w:type="character" w:customStyle="1" w:styleId="FooterChar">
    <w:name w:val="Footer Char"/>
    <w:link w:val="Footer"/>
    <w:uiPriority w:val="99"/>
    <w:rsid w:val="00875597"/>
    <w:rPr>
      <w:sz w:val="22"/>
      <w:szCs w:val="22"/>
      <w:lang w:eastAsia="en-US"/>
    </w:rPr>
  </w:style>
  <w:style w:type="character" w:customStyle="1" w:styleId="Heading2Char">
    <w:name w:val="Heading 2 Char"/>
    <w:basedOn w:val="DefaultParagraphFont"/>
    <w:link w:val="Heading2"/>
    <w:uiPriority w:val="9"/>
    <w:rsid w:val="003D7BBB"/>
    <w:rPr>
      <w:rFonts w:asciiTheme="majorHAnsi" w:eastAsiaTheme="majorEastAsia" w:hAnsiTheme="majorHAnsi" w:cstheme="majorBidi"/>
      <w:b/>
      <w:color w:val="2E74B5" w:themeColor="accent1" w:themeShade="BF"/>
      <w:sz w:val="26"/>
      <w:szCs w:val="26"/>
      <w:lang w:eastAsia="en-US"/>
    </w:rPr>
  </w:style>
  <w:style w:type="character" w:customStyle="1" w:styleId="Heading3Char">
    <w:name w:val="Heading 3 Char"/>
    <w:basedOn w:val="DefaultParagraphFont"/>
    <w:link w:val="Heading3"/>
    <w:uiPriority w:val="9"/>
    <w:rsid w:val="002B39AF"/>
    <w:rPr>
      <w:rFonts w:asciiTheme="majorHAnsi" w:eastAsiaTheme="majorEastAsia" w:hAnsiTheme="majorHAnsi" w:cstheme="majorBidi"/>
      <w:b/>
      <w:sz w:val="24"/>
      <w:szCs w:val="24"/>
      <w:lang w:eastAsia="en-US"/>
    </w:rPr>
  </w:style>
  <w:style w:type="paragraph" w:styleId="ListParagraph">
    <w:name w:val="List Paragraph"/>
    <w:basedOn w:val="Normal"/>
    <w:uiPriority w:val="34"/>
    <w:qFormat/>
    <w:rsid w:val="00DF465E"/>
    <w:pPr>
      <w:ind w:left="720"/>
      <w:contextualSpacing/>
    </w:pPr>
  </w:style>
  <w:style w:type="paragraph" w:styleId="BalloonText">
    <w:name w:val="Balloon Text"/>
    <w:basedOn w:val="Normal"/>
    <w:link w:val="BalloonTextChar"/>
    <w:uiPriority w:val="99"/>
    <w:semiHidden/>
    <w:unhideWhenUsed/>
    <w:rsid w:val="00EC4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47"/>
    <w:rPr>
      <w:rFonts w:ascii="Segoe UI" w:hAnsi="Segoe UI" w:cs="Segoe UI"/>
      <w:sz w:val="18"/>
      <w:szCs w:val="18"/>
      <w:lang w:eastAsia="en-US"/>
    </w:rPr>
  </w:style>
  <w:style w:type="character" w:customStyle="1" w:styleId="Heading1Char">
    <w:name w:val="Heading 1 Char"/>
    <w:basedOn w:val="DefaultParagraphFont"/>
    <w:link w:val="Heading1"/>
    <w:uiPriority w:val="9"/>
    <w:rsid w:val="003D7BBB"/>
    <w:rPr>
      <w:rFonts w:asciiTheme="majorHAnsi" w:eastAsiaTheme="majorEastAsia" w:hAnsiTheme="majorHAnsi" w:cstheme="majorBidi"/>
      <w:color w:val="2E74B5" w:themeColor="accent1" w:themeShade="BF"/>
      <w:sz w:val="32"/>
      <w:szCs w:val="32"/>
      <w:lang w:eastAsia="en-US"/>
    </w:rPr>
  </w:style>
  <w:style w:type="paragraph" w:styleId="NoSpacing">
    <w:name w:val="No Spacing"/>
    <w:uiPriority w:val="1"/>
    <w:qFormat/>
    <w:rsid w:val="002B39A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9487">
      <w:bodyDiv w:val="1"/>
      <w:marLeft w:val="0"/>
      <w:marRight w:val="0"/>
      <w:marTop w:val="0"/>
      <w:marBottom w:val="0"/>
      <w:divBdr>
        <w:top w:val="none" w:sz="0" w:space="0" w:color="auto"/>
        <w:left w:val="none" w:sz="0" w:space="0" w:color="auto"/>
        <w:bottom w:val="none" w:sz="0" w:space="0" w:color="auto"/>
        <w:right w:val="none" w:sz="0" w:space="0" w:color="auto"/>
      </w:divBdr>
    </w:div>
    <w:div w:id="241182072">
      <w:bodyDiv w:val="1"/>
      <w:marLeft w:val="0"/>
      <w:marRight w:val="0"/>
      <w:marTop w:val="0"/>
      <w:marBottom w:val="0"/>
      <w:divBdr>
        <w:top w:val="none" w:sz="0" w:space="0" w:color="auto"/>
        <w:left w:val="none" w:sz="0" w:space="0" w:color="auto"/>
        <w:bottom w:val="none" w:sz="0" w:space="0" w:color="auto"/>
        <w:right w:val="none" w:sz="0" w:space="0" w:color="auto"/>
      </w:divBdr>
    </w:div>
    <w:div w:id="473641566">
      <w:bodyDiv w:val="1"/>
      <w:marLeft w:val="0"/>
      <w:marRight w:val="0"/>
      <w:marTop w:val="0"/>
      <w:marBottom w:val="0"/>
      <w:divBdr>
        <w:top w:val="none" w:sz="0" w:space="0" w:color="auto"/>
        <w:left w:val="none" w:sz="0" w:space="0" w:color="auto"/>
        <w:bottom w:val="none" w:sz="0" w:space="0" w:color="auto"/>
        <w:right w:val="none" w:sz="0" w:space="0" w:color="auto"/>
      </w:divBdr>
    </w:div>
    <w:div w:id="604535820">
      <w:bodyDiv w:val="1"/>
      <w:marLeft w:val="0"/>
      <w:marRight w:val="0"/>
      <w:marTop w:val="0"/>
      <w:marBottom w:val="0"/>
      <w:divBdr>
        <w:top w:val="none" w:sz="0" w:space="0" w:color="auto"/>
        <w:left w:val="none" w:sz="0" w:space="0" w:color="auto"/>
        <w:bottom w:val="none" w:sz="0" w:space="0" w:color="auto"/>
        <w:right w:val="none" w:sz="0" w:space="0" w:color="auto"/>
      </w:divBdr>
    </w:div>
    <w:div w:id="762265043">
      <w:bodyDiv w:val="1"/>
      <w:marLeft w:val="0"/>
      <w:marRight w:val="0"/>
      <w:marTop w:val="0"/>
      <w:marBottom w:val="0"/>
      <w:divBdr>
        <w:top w:val="none" w:sz="0" w:space="0" w:color="auto"/>
        <w:left w:val="none" w:sz="0" w:space="0" w:color="auto"/>
        <w:bottom w:val="none" w:sz="0" w:space="0" w:color="auto"/>
        <w:right w:val="none" w:sz="0" w:space="0" w:color="auto"/>
      </w:divBdr>
    </w:div>
    <w:div w:id="880363810">
      <w:bodyDiv w:val="1"/>
      <w:marLeft w:val="0"/>
      <w:marRight w:val="0"/>
      <w:marTop w:val="0"/>
      <w:marBottom w:val="0"/>
      <w:divBdr>
        <w:top w:val="none" w:sz="0" w:space="0" w:color="auto"/>
        <w:left w:val="none" w:sz="0" w:space="0" w:color="auto"/>
        <w:bottom w:val="none" w:sz="0" w:space="0" w:color="auto"/>
        <w:right w:val="none" w:sz="0" w:space="0" w:color="auto"/>
      </w:divBdr>
    </w:div>
    <w:div w:id="935331141">
      <w:bodyDiv w:val="1"/>
      <w:marLeft w:val="0"/>
      <w:marRight w:val="0"/>
      <w:marTop w:val="0"/>
      <w:marBottom w:val="0"/>
      <w:divBdr>
        <w:top w:val="none" w:sz="0" w:space="0" w:color="auto"/>
        <w:left w:val="none" w:sz="0" w:space="0" w:color="auto"/>
        <w:bottom w:val="none" w:sz="0" w:space="0" w:color="auto"/>
        <w:right w:val="none" w:sz="0" w:space="0" w:color="auto"/>
      </w:divBdr>
    </w:div>
    <w:div w:id="1098714076">
      <w:bodyDiv w:val="1"/>
      <w:marLeft w:val="0"/>
      <w:marRight w:val="0"/>
      <w:marTop w:val="0"/>
      <w:marBottom w:val="0"/>
      <w:divBdr>
        <w:top w:val="none" w:sz="0" w:space="0" w:color="auto"/>
        <w:left w:val="none" w:sz="0" w:space="0" w:color="auto"/>
        <w:bottom w:val="none" w:sz="0" w:space="0" w:color="auto"/>
        <w:right w:val="none" w:sz="0" w:space="0" w:color="auto"/>
      </w:divBdr>
    </w:div>
    <w:div w:id="1176458276">
      <w:bodyDiv w:val="1"/>
      <w:marLeft w:val="0"/>
      <w:marRight w:val="0"/>
      <w:marTop w:val="0"/>
      <w:marBottom w:val="0"/>
      <w:divBdr>
        <w:top w:val="none" w:sz="0" w:space="0" w:color="auto"/>
        <w:left w:val="none" w:sz="0" w:space="0" w:color="auto"/>
        <w:bottom w:val="none" w:sz="0" w:space="0" w:color="auto"/>
        <w:right w:val="none" w:sz="0" w:space="0" w:color="auto"/>
      </w:divBdr>
    </w:div>
    <w:div w:id="1236936746">
      <w:bodyDiv w:val="1"/>
      <w:marLeft w:val="0"/>
      <w:marRight w:val="0"/>
      <w:marTop w:val="0"/>
      <w:marBottom w:val="0"/>
      <w:divBdr>
        <w:top w:val="none" w:sz="0" w:space="0" w:color="auto"/>
        <w:left w:val="none" w:sz="0" w:space="0" w:color="auto"/>
        <w:bottom w:val="none" w:sz="0" w:space="0" w:color="auto"/>
        <w:right w:val="none" w:sz="0" w:space="0" w:color="auto"/>
      </w:divBdr>
    </w:div>
    <w:div w:id="1387339363">
      <w:bodyDiv w:val="1"/>
      <w:marLeft w:val="0"/>
      <w:marRight w:val="0"/>
      <w:marTop w:val="0"/>
      <w:marBottom w:val="0"/>
      <w:divBdr>
        <w:top w:val="none" w:sz="0" w:space="0" w:color="auto"/>
        <w:left w:val="none" w:sz="0" w:space="0" w:color="auto"/>
        <w:bottom w:val="none" w:sz="0" w:space="0" w:color="auto"/>
        <w:right w:val="none" w:sz="0" w:space="0" w:color="auto"/>
      </w:divBdr>
    </w:div>
    <w:div w:id="1524708992">
      <w:bodyDiv w:val="1"/>
      <w:marLeft w:val="0"/>
      <w:marRight w:val="0"/>
      <w:marTop w:val="0"/>
      <w:marBottom w:val="0"/>
      <w:divBdr>
        <w:top w:val="none" w:sz="0" w:space="0" w:color="auto"/>
        <w:left w:val="none" w:sz="0" w:space="0" w:color="auto"/>
        <w:bottom w:val="none" w:sz="0" w:space="0" w:color="auto"/>
        <w:right w:val="none" w:sz="0" w:space="0" w:color="auto"/>
      </w:divBdr>
    </w:div>
    <w:div w:id="1526018562">
      <w:bodyDiv w:val="1"/>
      <w:marLeft w:val="0"/>
      <w:marRight w:val="0"/>
      <w:marTop w:val="0"/>
      <w:marBottom w:val="0"/>
      <w:divBdr>
        <w:top w:val="none" w:sz="0" w:space="0" w:color="auto"/>
        <w:left w:val="none" w:sz="0" w:space="0" w:color="auto"/>
        <w:bottom w:val="none" w:sz="0" w:space="0" w:color="auto"/>
        <w:right w:val="none" w:sz="0" w:space="0" w:color="auto"/>
      </w:divBdr>
    </w:div>
    <w:div w:id="1723098931">
      <w:bodyDiv w:val="1"/>
      <w:marLeft w:val="0"/>
      <w:marRight w:val="0"/>
      <w:marTop w:val="0"/>
      <w:marBottom w:val="0"/>
      <w:divBdr>
        <w:top w:val="none" w:sz="0" w:space="0" w:color="auto"/>
        <w:left w:val="none" w:sz="0" w:space="0" w:color="auto"/>
        <w:bottom w:val="none" w:sz="0" w:space="0" w:color="auto"/>
        <w:right w:val="none" w:sz="0" w:space="0" w:color="auto"/>
      </w:divBdr>
    </w:div>
    <w:div w:id="206740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ocality xmlns="5a4763a0-f8b4-4352-b99e-949453f59c64">
      <Value>Trust Wide</Value>
    </Locality>
    <c24b251977ca431c9d410821abf17bbd xmlns="5a4763a0-f8b4-4352-b99e-949453f59c64">
      <Terms xmlns="http://schemas.microsoft.com/office/infopath/2007/PartnerControls"/>
    </c24b251977ca431c9d410821abf17bbd>
    <TaxCatchAll xmlns="5a4763a0-f8b4-4352-b99e-949453f59c64">
      <Value>211</Value>
    </TaxCatchAll>
    <DocumentCategory xmlns="5a4763a0-f8b4-4352-b99e-949453f59c64">Template</DocumentCategory>
    <DocumentAuthor xmlns="5a4763a0-f8b4-4352-b99e-949453f59c64">
      <UserInfo>
        <DisplayName/>
        <AccountId>6581</AccountId>
        <AccountType/>
      </UserInfo>
    </DocumentAuthor>
    <StationaryCategories xmlns="5a4763a0-f8b4-4352-b99e-949453f59c64">Blank Word Documents</StationaryCategories>
    <TaxKeywordTaxHTField xmlns="5a4763a0-f8b4-4352-b99e-949453f59c64">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e80ef3f9-f22a-4be8-86e9-fcf2bf02d329</TermId>
        </TermInfo>
      </Term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Core Document" ma:contentTypeID="0x010100F0797CA646BC364594023BD6F7CC821700CB698BE9270D2F4FB4C0B2B81DE55EA9" ma:contentTypeVersion="21" ma:contentTypeDescription="" ma:contentTypeScope="" ma:versionID="df5916541359188d444c3a075561342b">
  <xsd:schema xmlns:xsd="http://www.w3.org/2001/XMLSchema" xmlns:xs="http://www.w3.org/2001/XMLSchema" xmlns:p="http://schemas.microsoft.com/office/2006/metadata/properties" xmlns:ns2="5a4763a0-f8b4-4352-b99e-949453f59c64" targetNamespace="http://schemas.microsoft.com/office/2006/metadata/properties" ma:root="true" ma:fieldsID="3281158b7751319a4ba9e3871cae7f17" ns2:_="">
    <xsd:import namespace="5a4763a0-f8b4-4352-b99e-949453f59c64"/>
    <xsd:element name="properties">
      <xsd:complexType>
        <xsd:sequence>
          <xsd:element name="documentManagement">
            <xsd:complexType>
              <xsd:all>
                <xsd:element ref="ns2:DocumentAuthor"/>
                <xsd:element ref="ns2:TaxKeywordTaxHTField" minOccurs="0"/>
                <xsd:element ref="ns2:TaxCatchAll" minOccurs="0"/>
                <xsd:element ref="ns2:TaxCatchAllLabel" minOccurs="0"/>
                <xsd:element ref="ns2:DocumentCategory"/>
                <xsd:element ref="ns2:c24b251977ca431c9d410821abf17bbd" minOccurs="0"/>
                <xsd:element ref="ns2:Locality" minOccurs="0"/>
                <xsd:element ref="ns2:StationaryCateg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763a0-f8b4-4352-b99e-949453f59c64" elementFormDefault="qualified">
    <xsd:import namespace="http://schemas.microsoft.com/office/2006/documentManagement/types"/>
    <xsd:import namespace="http://schemas.microsoft.com/office/infopath/2007/PartnerControls"/>
    <xsd:element name="DocumentAuthor" ma:index="2" ma:displayName="Document Author" ma:list="UserInfo"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9" ma:taxonomy="true" ma:internalName="TaxKeywordTaxHTField" ma:taxonomyFieldName="TaxKeyword" ma:displayName="Enterprise Keywords" ma:readOnly="false" ma:fieldId="{23f27201-bee3-471e-b2e7-b64fd8b7ca38}" ma:taxonomyMulti="true" ma:sspId="27b0c2cc-47b2-4ab1-b223-1d481d824d5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337732e-879e-4d18-ab09-d9fdd36d6367}" ma:internalName="TaxCatchAll" ma:showField="CatchAllData"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337732e-879e-4d18-ab09-d9fdd36d6367}" ma:internalName="TaxCatchAllLabel" ma:readOnly="true" ma:showField="CatchAllDataLabel"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DocumentCategory" ma:index="14" ma:displayName="Document Category" ma:description="Types of documents available in the organisation" ma:format="Dropdown" ma:internalName="DocumentCategory">
      <xsd:simpleType>
        <xsd:union memberTypes="dms:Text">
          <xsd:simpleType>
            <xsd:restriction base="dms:Choice">
              <xsd:enumeration value="Agenda"/>
              <xsd:enumeration value="Audio Visual"/>
              <xsd:enumeration value="Budget"/>
              <xsd:enumeration value="Contract"/>
              <xsd:enumeration value="Flowchart"/>
              <xsd:enumeration value="Form"/>
              <xsd:enumeration value="Leaflet"/>
              <xsd:enumeration value="Minutes"/>
              <xsd:enumeration value="Newsletter"/>
              <xsd:enumeration value="Plan"/>
              <xsd:enumeration value="Presentation"/>
              <xsd:enumeration value="Project"/>
              <xsd:enumeration value="Poster"/>
              <xsd:enumeration value="Protocol"/>
              <xsd:enumeration value="Report - Annual"/>
              <xsd:enumeration value="Report"/>
              <xsd:enumeration value="Strategy"/>
              <xsd:enumeration value="Survey"/>
              <xsd:enumeration value="Template"/>
              <xsd:enumeration value="Training"/>
              <xsd:enumeration value="User Guide"/>
            </xsd:restriction>
          </xsd:simpleType>
        </xsd:union>
      </xsd:simpleType>
    </xsd:element>
    <xsd:element name="c24b251977ca431c9d410821abf17bbd" ma:index="15" nillable="true" ma:taxonomy="true" ma:internalName="c24b251977ca431c9d410821abf17bbd" ma:taxonomyFieldName="NICETaxonomy" ma:displayName="NICE Taxonomy" ma:default="" ma:fieldId="{c24b2519-77ca-431c-9d41-0821abf17bbd}" ma:sspId="b9de5b05-4a48-465e-aec2-b705e55e9f20" ma:termSetId="390b4082-121f-4258-b030-e6467a935935" ma:anchorId="00000000-0000-0000-0000-000000000000" ma:open="false" ma:isKeyword="false">
      <xsd:complexType>
        <xsd:sequence>
          <xsd:element ref="pc:Terms" minOccurs="0" maxOccurs="1"/>
        </xsd:sequence>
      </xsd:complexType>
    </xsd:element>
    <xsd:element name="Locality" ma:index="17" nillable="true" ma:displayName="Locality" ma:internalName="Locality" ma:readOnly="false">
      <xsd:complexType>
        <xsd:complexContent>
          <xsd:extension base="dms:MultiChoice">
            <xsd:sequence>
              <xsd:element name="Value" maxOccurs="unbounded" minOccurs="0" nillable="true">
                <xsd:simpleType>
                  <xsd:restriction base="dms:Choice">
                    <xsd:enumeration value="East"/>
                    <xsd:enumeration value="West"/>
                    <xsd:enumeration value="Wirral"/>
                    <xsd:enumeration value="Trust Wide"/>
                  </xsd:restriction>
                </xsd:simpleType>
              </xsd:element>
            </xsd:sequence>
          </xsd:extension>
        </xsd:complexContent>
      </xsd:complexType>
    </xsd:element>
    <xsd:element name="StationaryCategories" ma:index="18" nillable="true" ma:displayName="Stationery Category" ma:description="A field to identify stationary categories" ma:format="Dropdown" ma:internalName="StationaryCategories">
      <xsd:simpleType>
        <xsd:restriction base="dms:Choice">
          <xsd:enumeration value="Agenda"/>
          <xsd:enumeration value="Blank Word Documents"/>
          <xsd:enumeration value="Branding Guidelines"/>
          <xsd:enumeration value="Case notes"/>
          <xsd:enumeration value="Certificate"/>
          <xsd:enumeration value="Complimentary Slip"/>
          <xsd:enumeration value="Committee Business Cycle"/>
          <xsd:enumeration value="Email Signature"/>
          <xsd:enumeration value="Fax Header"/>
          <xsd:enumeration value="Flyer"/>
          <xsd:enumeration value="HR"/>
          <xsd:enumeration value="Leaflet"/>
          <xsd:enumeration value="Letter"/>
          <xsd:enumeration value="Memo"/>
          <xsd:enumeration value="Poster"/>
          <xsd:enumeration value="Powerpoint"/>
          <xsd:enumeration value="Programme"/>
          <xsd:enumeration value="SBAR Template"/>
          <xsd:enumeration value="Report"/>
          <xsd:enumeration value="Terms of Refer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CB57E-7FD4-4253-ACDA-7ABC19CF7D0D}">
  <ds:schemaRefs>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5a4763a0-f8b4-4352-b99e-949453f59c64"/>
    <ds:schemaRef ds:uri="http://schemas.microsoft.com/office/2006/metadata/properties"/>
  </ds:schemaRefs>
</ds:datastoreItem>
</file>

<file path=customXml/itemProps2.xml><?xml version="1.0" encoding="utf-8"?>
<ds:datastoreItem xmlns:ds="http://schemas.openxmlformats.org/officeDocument/2006/customXml" ds:itemID="{7DC3C7FC-700C-4FEF-AD16-B0BD44C5E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763a0-f8b4-4352-b99e-949453f59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A663D5-76AE-46AC-ACDD-5A465B678AC3}">
  <ds:schemaRefs>
    <ds:schemaRef ds:uri="http://schemas.microsoft.com/office/2006/metadata/longProperties"/>
  </ds:schemaRefs>
</ds:datastoreItem>
</file>

<file path=customXml/itemProps4.xml><?xml version="1.0" encoding="utf-8"?>
<ds:datastoreItem xmlns:ds="http://schemas.openxmlformats.org/officeDocument/2006/customXml" ds:itemID="{E03E381A-14F1-4C3C-A121-6DB1311C2F35}">
  <ds:schemaRefs>
    <ds:schemaRef ds:uri="http://schemas.microsoft.com/sharepoint/v3/contenttype/forms"/>
  </ds:schemaRefs>
</ds:datastoreItem>
</file>

<file path=customXml/itemProps5.xml><?xml version="1.0" encoding="utf-8"?>
<ds:datastoreItem xmlns:ds="http://schemas.openxmlformats.org/officeDocument/2006/customXml" ds:itemID="{792611CE-C77A-4615-BF10-B5228370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1380</Words>
  <Characters>7868</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Blank Portrait Word Document</vt:lpstr>
    </vt:vector>
  </TitlesOfParts>
  <Company>Cheshire and Wirral Partnership NHS Foundation Trust</Company>
  <LinksUpToDate>false</LinksUpToDate>
  <CharactersWithSpaces>9230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Portrait Word Document</dc:title>
  <dc:subject>Blank Portrait Word Document</dc:subject>
  <dc:creator>nealevans@nhs.net</dc:creator>
  <cp:keywords>Word</cp:keywords>
  <cp:lastModifiedBy>Rachael A. Edwards</cp:lastModifiedBy>
  <cp:revision>2</cp:revision>
  <dcterms:created xsi:type="dcterms:W3CDTF">2019-10-15T14:03:00Z</dcterms:created>
  <dcterms:modified xsi:type="dcterms:W3CDTF">2019-10-15T14:03:00Z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211;#Word|e80ef3f9-f22a-4be8-86e9-fcf2bf02d329</vt:lpwstr>
  </property>
  <property fmtid="{D5CDD505-2E9C-101B-9397-08002B2CF9AE}" pid="3" name="NICETaxonomy">
    <vt:lpwstr/>
  </property>
  <property fmtid="{D5CDD505-2E9C-101B-9397-08002B2CF9AE}" pid="4" name="display_urn:schemas-microsoft-com:office:office#DocumentAuthor">
    <vt:lpwstr>David Williamson</vt:lpwstr>
  </property>
</Properties>
</file>